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5F6F8"/>
        <w:tblCellMar>
          <w:left w:w="0" w:type="dxa"/>
          <w:right w:w="0" w:type="dxa"/>
        </w:tblCellMar>
        <w:tblLook w:val="04A0" w:firstRow="1" w:lastRow="0" w:firstColumn="1" w:lastColumn="0" w:noHBand="0" w:noVBand="1"/>
      </w:tblPr>
      <w:tblGrid>
        <w:gridCol w:w="9026"/>
      </w:tblGrid>
      <w:tr w:rsidR="004305BD" w14:paraId="274B2E81" w14:textId="77777777" w:rsidTr="004305BD">
        <w:tc>
          <w:tcPr>
            <w:tcW w:w="0" w:type="auto"/>
            <w:shd w:val="clear" w:color="auto" w:fill="F5F6F8"/>
            <w:vAlign w:val="center"/>
            <w:hideMark/>
          </w:tcPr>
          <w:tbl>
            <w:tblPr>
              <w:tblW w:w="0" w:type="auto"/>
              <w:jc w:val="center"/>
              <w:tblCellMar>
                <w:left w:w="0" w:type="dxa"/>
                <w:right w:w="0" w:type="dxa"/>
              </w:tblCellMar>
              <w:tblLook w:val="04A0" w:firstRow="1" w:lastRow="0" w:firstColumn="1" w:lastColumn="0" w:noHBand="0" w:noVBand="1"/>
            </w:tblPr>
            <w:tblGrid>
              <w:gridCol w:w="4200"/>
              <w:gridCol w:w="4200"/>
              <w:gridCol w:w="600"/>
            </w:tblGrid>
            <w:tr w:rsidR="004305BD" w14:paraId="5505C77D" w14:textId="77777777">
              <w:trPr>
                <w:gridAfter w:val="1"/>
                <w:wAfter w:w="600" w:type="dxa"/>
                <w:jc w:val="center"/>
              </w:trPr>
              <w:tc>
                <w:tcPr>
                  <w:tcW w:w="4200" w:type="dxa"/>
                  <w:tcMar>
                    <w:top w:w="0" w:type="dxa"/>
                    <w:left w:w="0" w:type="dxa"/>
                    <w:bottom w:w="120" w:type="dxa"/>
                    <w:right w:w="0" w:type="dxa"/>
                  </w:tcMar>
                  <w:hideMark/>
                </w:tcPr>
                <w:p w14:paraId="05F817B2" w14:textId="77777777" w:rsidR="004305BD" w:rsidRDefault="004305BD"/>
              </w:tc>
              <w:tc>
                <w:tcPr>
                  <w:tcW w:w="4200" w:type="dxa"/>
                  <w:tcMar>
                    <w:top w:w="0" w:type="dxa"/>
                    <w:left w:w="0" w:type="dxa"/>
                    <w:bottom w:w="120" w:type="dxa"/>
                    <w:right w:w="0" w:type="dxa"/>
                  </w:tcMar>
                  <w:hideMark/>
                </w:tcPr>
                <w:p w14:paraId="19B1CCAD" w14:textId="2BA5C586" w:rsidR="004305BD" w:rsidRDefault="004305BD">
                  <w:pPr>
                    <w:pStyle w:val="NormalWeb"/>
                    <w:spacing w:before="0" w:beforeAutospacing="0" w:after="0" w:afterAutospacing="0" w:line="285" w:lineRule="atLeast"/>
                    <w:jc w:val="right"/>
                    <w:rPr>
                      <w:rFonts w:ascii="Arial" w:hAnsi="Arial" w:cs="Arial"/>
                      <w:color w:val="717A8A"/>
                      <w:sz w:val="18"/>
                      <w:szCs w:val="18"/>
                    </w:rPr>
                  </w:pPr>
                </w:p>
              </w:tc>
            </w:tr>
            <w:tr w:rsidR="004305BD" w14:paraId="234752C1" w14:textId="77777777">
              <w:trPr>
                <w:jc w:val="center"/>
              </w:trPr>
              <w:tc>
                <w:tcPr>
                  <w:tcW w:w="9000" w:type="dxa"/>
                  <w:gridSpan w:val="3"/>
                  <w:vAlign w:val="center"/>
                  <w:hideMark/>
                </w:tcPr>
                <w:p w14:paraId="59C2DA8E" w14:textId="119766A5" w:rsidR="004305BD" w:rsidRDefault="004305BD">
                  <w:pPr>
                    <w:spacing w:line="480" w:lineRule="atLeast"/>
                    <w:rPr>
                      <w:rFonts w:ascii="Arial" w:eastAsia="Times New Roman" w:hAnsi="Arial" w:cs="Arial"/>
                      <w:color w:val="41637E"/>
                      <w:sz w:val="39"/>
                      <w:szCs w:val="39"/>
                    </w:rPr>
                  </w:pPr>
                </w:p>
              </w:tc>
            </w:tr>
            <w:tr w:rsidR="004305BD" w14:paraId="1A8C1384" w14:textId="77777777">
              <w:trPr>
                <w:jc w:val="center"/>
              </w:trPr>
              <w:tc>
                <w:tcPr>
                  <w:tcW w:w="9000" w:type="dxa"/>
                  <w:gridSpan w:val="3"/>
                  <w:shd w:val="clear" w:color="auto" w:fill="FFFFFF"/>
                  <w:vAlign w:val="center"/>
                  <w:hideMark/>
                </w:tcPr>
                <w:p w14:paraId="023E6F70" w14:textId="044FBEBE" w:rsidR="004305BD" w:rsidRDefault="004305BD">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05ADA5AA" wp14:editId="1840AD94">
                        <wp:extent cx="5715000" cy="3857625"/>
                        <wp:effectExtent l="0" t="0" r="0" b="9525"/>
                        <wp:docPr id="12" name="Picture 12" descr="Head and shoulder photo of Dr John Fountain, with the Canshare logo and his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and shoulder photo of Dr John Fountain, with the Canshare logo and his tit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57625"/>
                                </a:xfrm>
                                <a:prstGeom prst="rect">
                                  <a:avLst/>
                                </a:prstGeom>
                                <a:noFill/>
                                <a:ln>
                                  <a:noFill/>
                                </a:ln>
                              </pic:spPr>
                            </pic:pic>
                          </a:graphicData>
                        </a:graphic>
                      </wp:inline>
                    </w:drawing>
                  </w:r>
                </w:p>
                <w:p w14:paraId="3045CD71" w14:textId="77777777" w:rsidR="004305BD" w:rsidRDefault="004305BD">
                  <w:pPr>
                    <w:spacing w:line="120" w:lineRule="exact"/>
                    <w:rPr>
                      <w:rFonts w:ascii="Arial" w:eastAsia="Times New Roman" w:hAnsi="Arial" w:cs="Arial"/>
                      <w:color w:val="717A8A"/>
                      <w:sz w:val="2"/>
                      <w:szCs w:val="2"/>
                    </w:rPr>
                  </w:pPr>
                  <w:r>
                    <w:rPr>
                      <w:rFonts w:ascii="Arial" w:eastAsia="Times New Roman" w:hAnsi="Arial" w:cs="Arial"/>
                      <w:color w:val="717A8A"/>
                      <w:sz w:val="2"/>
                      <w:szCs w:val="2"/>
                    </w:rPr>
                    <w:t> </w:t>
                  </w:r>
                </w:p>
                <w:p w14:paraId="00E732E9" w14:textId="77777777" w:rsidR="004305BD" w:rsidRDefault="004305BD">
                  <w:pPr>
                    <w:spacing w:line="420" w:lineRule="exact"/>
                    <w:textAlignment w:val="center"/>
                    <w:outlineLvl w:val="2"/>
                    <w:rPr>
                      <w:rFonts w:ascii="Montserrat" w:eastAsia="Times New Roman" w:hAnsi="Montserrat" w:cs="Arial"/>
                      <w:color w:val="3D3B3D"/>
                      <w:position w:val="17"/>
                      <w:sz w:val="30"/>
                      <w:szCs w:val="30"/>
                    </w:rPr>
                  </w:pPr>
                  <w:proofErr w:type="spellStart"/>
                  <w:r>
                    <w:rPr>
                      <w:rStyle w:val="Strong"/>
                      <w:rFonts w:ascii="Montserrat" w:eastAsia="Times New Roman" w:hAnsi="Montserrat" w:cs="Arial"/>
                      <w:color w:val="3D3B3D"/>
                      <w:position w:val="17"/>
                      <w:sz w:val="30"/>
                      <w:szCs w:val="30"/>
                    </w:rPr>
                    <w:t>Mā</w:t>
                  </w:r>
                  <w:proofErr w:type="spellEnd"/>
                  <w:r>
                    <w:rPr>
                      <w:rStyle w:val="Strong"/>
                      <w:rFonts w:ascii="Montserrat" w:eastAsia="Times New Roman" w:hAnsi="Montserrat" w:cs="Arial"/>
                      <w:color w:val="3D3B3D"/>
                      <w:position w:val="17"/>
                      <w:sz w:val="30"/>
                      <w:szCs w:val="30"/>
                    </w:rPr>
                    <w:t xml:space="preserve"> </w:t>
                  </w:r>
                  <w:proofErr w:type="spellStart"/>
                  <w:r>
                    <w:rPr>
                      <w:rStyle w:val="Strong"/>
                      <w:rFonts w:ascii="Montserrat" w:eastAsia="Times New Roman" w:hAnsi="Montserrat" w:cs="Arial"/>
                      <w:color w:val="3D3B3D"/>
                      <w:position w:val="17"/>
                      <w:sz w:val="30"/>
                      <w:szCs w:val="30"/>
                    </w:rPr>
                    <w:t>te</w:t>
                  </w:r>
                  <w:proofErr w:type="spellEnd"/>
                  <w:r>
                    <w:rPr>
                      <w:rStyle w:val="Strong"/>
                      <w:rFonts w:ascii="Montserrat" w:eastAsia="Times New Roman" w:hAnsi="Montserrat" w:cs="Arial"/>
                      <w:color w:val="3D3B3D"/>
                      <w:position w:val="17"/>
                      <w:sz w:val="30"/>
                      <w:szCs w:val="30"/>
                    </w:rPr>
                    <w:t xml:space="preserve"> </w:t>
                  </w:r>
                  <w:proofErr w:type="spellStart"/>
                  <w:r>
                    <w:rPr>
                      <w:rStyle w:val="Strong"/>
                      <w:rFonts w:ascii="Montserrat" w:eastAsia="Times New Roman" w:hAnsi="Montserrat" w:cs="Arial"/>
                      <w:color w:val="3D3B3D"/>
                      <w:position w:val="17"/>
                      <w:sz w:val="30"/>
                      <w:szCs w:val="30"/>
                    </w:rPr>
                    <w:t>kimi</w:t>
                  </w:r>
                  <w:proofErr w:type="spellEnd"/>
                  <w:r>
                    <w:rPr>
                      <w:rStyle w:val="Strong"/>
                      <w:rFonts w:ascii="Montserrat" w:eastAsia="Times New Roman" w:hAnsi="Montserrat" w:cs="Arial"/>
                      <w:color w:val="3D3B3D"/>
                      <w:position w:val="17"/>
                      <w:sz w:val="30"/>
                      <w:szCs w:val="30"/>
                    </w:rPr>
                    <w:t xml:space="preserve"> ka kite, </w:t>
                  </w:r>
                  <w:proofErr w:type="spellStart"/>
                  <w:r>
                    <w:rPr>
                      <w:rStyle w:val="Strong"/>
                      <w:rFonts w:ascii="Montserrat" w:eastAsia="Times New Roman" w:hAnsi="Montserrat" w:cs="Arial"/>
                      <w:color w:val="3D3B3D"/>
                      <w:position w:val="17"/>
                      <w:sz w:val="30"/>
                      <w:szCs w:val="30"/>
                    </w:rPr>
                    <w:t>mā</w:t>
                  </w:r>
                  <w:proofErr w:type="spellEnd"/>
                  <w:r>
                    <w:rPr>
                      <w:rStyle w:val="Strong"/>
                      <w:rFonts w:ascii="Montserrat" w:eastAsia="Times New Roman" w:hAnsi="Montserrat" w:cs="Arial"/>
                      <w:color w:val="3D3B3D"/>
                      <w:position w:val="17"/>
                      <w:sz w:val="30"/>
                      <w:szCs w:val="30"/>
                    </w:rPr>
                    <w:t xml:space="preserve"> </w:t>
                  </w:r>
                  <w:proofErr w:type="spellStart"/>
                  <w:r>
                    <w:rPr>
                      <w:rStyle w:val="Strong"/>
                      <w:rFonts w:ascii="Montserrat" w:eastAsia="Times New Roman" w:hAnsi="Montserrat" w:cs="Arial"/>
                      <w:color w:val="3D3B3D"/>
                      <w:position w:val="17"/>
                      <w:sz w:val="30"/>
                      <w:szCs w:val="30"/>
                    </w:rPr>
                    <w:t>te</w:t>
                  </w:r>
                  <w:proofErr w:type="spellEnd"/>
                  <w:r>
                    <w:rPr>
                      <w:rStyle w:val="Strong"/>
                      <w:rFonts w:ascii="Montserrat" w:eastAsia="Times New Roman" w:hAnsi="Montserrat" w:cs="Arial"/>
                      <w:color w:val="3D3B3D"/>
                      <w:position w:val="17"/>
                      <w:sz w:val="30"/>
                      <w:szCs w:val="30"/>
                    </w:rPr>
                    <w:t xml:space="preserve"> kite ka </w:t>
                  </w:r>
                  <w:proofErr w:type="spellStart"/>
                  <w:r>
                    <w:rPr>
                      <w:rStyle w:val="Strong"/>
                      <w:rFonts w:ascii="Montserrat" w:eastAsia="Times New Roman" w:hAnsi="Montserrat" w:cs="Arial"/>
                      <w:color w:val="3D3B3D"/>
                      <w:position w:val="17"/>
                      <w:sz w:val="30"/>
                      <w:szCs w:val="30"/>
                    </w:rPr>
                    <w:t>mōhio</w:t>
                  </w:r>
                  <w:proofErr w:type="spellEnd"/>
                  <w:r>
                    <w:rPr>
                      <w:rStyle w:val="Strong"/>
                      <w:rFonts w:ascii="Montserrat" w:eastAsia="Times New Roman" w:hAnsi="Montserrat" w:cs="Arial"/>
                      <w:color w:val="3D3B3D"/>
                      <w:position w:val="17"/>
                      <w:sz w:val="30"/>
                      <w:szCs w:val="30"/>
                    </w:rPr>
                    <w:t xml:space="preserve">, </w:t>
                  </w:r>
                  <w:proofErr w:type="spellStart"/>
                  <w:r>
                    <w:rPr>
                      <w:rStyle w:val="Strong"/>
                      <w:rFonts w:ascii="Montserrat" w:eastAsia="Times New Roman" w:hAnsi="Montserrat" w:cs="Arial"/>
                      <w:color w:val="3D3B3D"/>
                      <w:position w:val="17"/>
                      <w:sz w:val="30"/>
                      <w:szCs w:val="30"/>
                    </w:rPr>
                    <w:t>mā</w:t>
                  </w:r>
                  <w:proofErr w:type="spellEnd"/>
                  <w:r>
                    <w:rPr>
                      <w:rStyle w:val="Strong"/>
                      <w:rFonts w:ascii="Montserrat" w:eastAsia="Times New Roman" w:hAnsi="Montserrat" w:cs="Arial"/>
                      <w:color w:val="3D3B3D"/>
                      <w:position w:val="17"/>
                      <w:sz w:val="30"/>
                      <w:szCs w:val="30"/>
                    </w:rPr>
                    <w:t xml:space="preserve"> </w:t>
                  </w:r>
                  <w:proofErr w:type="spellStart"/>
                  <w:r>
                    <w:rPr>
                      <w:rStyle w:val="Strong"/>
                      <w:rFonts w:ascii="Montserrat" w:eastAsia="Times New Roman" w:hAnsi="Montserrat" w:cs="Arial"/>
                      <w:color w:val="3D3B3D"/>
                      <w:position w:val="17"/>
                      <w:sz w:val="30"/>
                      <w:szCs w:val="30"/>
                    </w:rPr>
                    <w:t>te</w:t>
                  </w:r>
                  <w:proofErr w:type="spellEnd"/>
                  <w:r>
                    <w:rPr>
                      <w:rStyle w:val="Strong"/>
                      <w:rFonts w:ascii="Montserrat" w:eastAsia="Times New Roman" w:hAnsi="Montserrat" w:cs="Arial"/>
                      <w:color w:val="3D3B3D"/>
                      <w:position w:val="17"/>
                      <w:sz w:val="30"/>
                      <w:szCs w:val="30"/>
                    </w:rPr>
                    <w:t xml:space="preserve"> </w:t>
                  </w:r>
                  <w:proofErr w:type="spellStart"/>
                  <w:r>
                    <w:rPr>
                      <w:rStyle w:val="Strong"/>
                      <w:rFonts w:ascii="Montserrat" w:eastAsia="Times New Roman" w:hAnsi="Montserrat" w:cs="Arial"/>
                      <w:color w:val="3D3B3D"/>
                      <w:position w:val="17"/>
                      <w:sz w:val="30"/>
                      <w:szCs w:val="30"/>
                    </w:rPr>
                    <w:t>mōhio</w:t>
                  </w:r>
                  <w:proofErr w:type="spellEnd"/>
                  <w:r>
                    <w:rPr>
                      <w:rStyle w:val="Strong"/>
                      <w:rFonts w:ascii="Montserrat" w:eastAsia="Times New Roman" w:hAnsi="Montserrat" w:cs="Arial"/>
                      <w:color w:val="3D3B3D"/>
                      <w:position w:val="17"/>
                      <w:sz w:val="30"/>
                      <w:szCs w:val="30"/>
                    </w:rPr>
                    <w:t xml:space="preserve"> ka </w:t>
                  </w:r>
                  <w:proofErr w:type="spellStart"/>
                  <w:r>
                    <w:rPr>
                      <w:rStyle w:val="Strong"/>
                      <w:rFonts w:ascii="Montserrat" w:eastAsia="Times New Roman" w:hAnsi="Montserrat" w:cs="Arial"/>
                      <w:color w:val="3D3B3D"/>
                      <w:position w:val="17"/>
                      <w:sz w:val="30"/>
                      <w:szCs w:val="30"/>
                    </w:rPr>
                    <w:t>mārama</w:t>
                  </w:r>
                  <w:proofErr w:type="spellEnd"/>
                  <w:r>
                    <w:rPr>
                      <w:rStyle w:val="Strong"/>
                      <w:rFonts w:ascii="Montserrat" w:eastAsia="Times New Roman" w:hAnsi="Montserrat" w:cs="Arial"/>
                      <w:color w:val="3D3B3D"/>
                      <w:position w:val="17"/>
                      <w:sz w:val="30"/>
                      <w:szCs w:val="30"/>
                    </w:rPr>
                    <w:t>. </w:t>
                  </w:r>
                </w:p>
                <w:p w14:paraId="4098CA5E" w14:textId="77777777" w:rsidR="004305BD" w:rsidRDefault="004305BD">
                  <w:pPr>
                    <w:spacing w:before="240" w:line="420" w:lineRule="exact"/>
                    <w:textAlignment w:val="center"/>
                    <w:outlineLvl w:val="2"/>
                    <w:rPr>
                      <w:rFonts w:ascii="Montserrat" w:eastAsia="Times New Roman" w:hAnsi="Montserrat" w:cs="Arial"/>
                      <w:color w:val="3D3B3D"/>
                      <w:position w:val="17"/>
                      <w:sz w:val="30"/>
                      <w:szCs w:val="30"/>
                    </w:rPr>
                  </w:pPr>
                  <w:r>
                    <w:rPr>
                      <w:rStyle w:val="Emphasis"/>
                      <w:rFonts w:ascii="Montserrat" w:eastAsia="Times New Roman" w:hAnsi="Montserrat" w:cs="Arial"/>
                      <w:color w:val="3D3B3D"/>
                      <w:position w:val="17"/>
                      <w:sz w:val="30"/>
                      <w:szCs w:val="30"/>
                    </w:rPr>
                    <w:t xml:space="preserve">Seek and discover, </w:t>
                  </w:r>
                  <w:proofErr w:type="gramStart"/>
                  <w:r>
                    <w:rPr>
                      <w:rStyle w:val="Emphasis"/>
                      <w:rFonts w:ascii="Montserrat" w:eastAsia="Times New Roman" w:hAnsi="Montserrat" w:cs="Arial"/>
                      <w:color w:val="3D3B3D"/>
                      <w:position w:val="17"/>
                      <w:sz w:val="30"/>
                      <w:szCs w:val="30"/>
                    </w:rPr>
                    <w:t>discover</w:t>
                  </w:r>
                  <w:proofErr w:type="gramEnd"/>
                  <w:r>
                    <w:rPr>
                      <w:rStyle w:val="Emphasis"/>
                      <w:rFonts w:ascii="Montserrat" w:eastAsia="Times New Roman" w:hAnsi="Montserrat" w:cs="Arial"/>
                      <w:color w:val="3D3B3D"/>
                      <w:position w:val="17"/>
                      <w:sz w:val="30"/>
                      <w:szCs w:val="30"/>
                    </w:rPr>
                    <w:t xml:space="preserve"> and know, know and become enlightened.</w:t>
                  </w:r>
                </w:p>
                <w:p w14:paraId="40985B0E" w14:textId="77777777" w:rsidR="004305BD" w:rsidRDefault="004305BD">
                  <w:pPr>
                    <w:pStyle w:val="NormalWeb"/>
                    <w:spacing w:before="240" w:beforeAutospacing="0" w:after="0" w:afterAutospacing="0" w:line="360" w:lineRule="atLeast"/>
                    <w:textAlignment w:val="center"/>
                    <w:rPr>
                      <w:rFonts w:ascii="Montserrat" w:hAnsi="Montserrat" w:cs="Arial"/>
                      <w:color w:val="717A8A"/>
                      <w:position w:val="17"/>
                      <w:sz w:val="24"/>
                      <w:szCs w:val="24"/>
                    </w:rPr>
                  </w:pPr>
                  <w:proofErr w:type="spellStart"/>
                  <w:r>
                    <w:rPr>
                      <w:rStyle w:val="font-montserrat"/>
                      <w:rFonts w:ascii="Montserrat" w:hAnsi="Montserrat" w:cs="Arial"/>
                      <w:color w:val="717A8A"/>
                      <w:position w:val="17"/>
                      <w:sz w:val="24"/>
                      <w:szCs w:val="24"/>
                    </w:rPr>
                    <w:t>Tēnā</w:t>
                  </w:r>
                  <w:proofErr w:type="spellEnd"/>
                  <w:r>
                    <w:rPr>
                      <w:rStyle w:val="font-montserrat"/>
                      <w:rFonts w:ascii="Montserrat" w:hAnsi="Montserrat" w:cs="Arial"/>
                      <w:color w:val="717A8A"/>
                      <w:position w:val="17"/>
                      <w:sz w:val="24"/>
                      <w:szCs w:val="24"/>
                    </w:rPr>
                    <w:t xml:space="preserve"> koutou </w:t>
                  </w:r>
                  <w:proofErr w:type="spellStart"/>
                  <w:r>
                    <w:rPr>
                      <w:rStyle w:val="font-montserrat"/>
                      <w:rFonts w:ascii="Montserrat" w:hAnsi="Montserrat" w:cs="Arial"/>
                      <w:color w:val="717A8A"/>
                      <w:position w:val="17"/>
                      <w:sz w:val="24"/>
                      <w:szCs w:val="24"/>
                    </w:rPr>
                    <w:t>katoa</w:t>
                  </w:r>
                  <w:proofErr w:type="spellEnd"/>
                </w:p>
                <w:p w14:paraId="2FEA0466"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Welcome to the second </w:t>
                  </w:r>
                  <w:proofErr w:type="spellStart"/>
                  <w:r>
                    <w:rPr>
                      <w:rStyle w:val="font-montserrat"/>
                      <w:rFonts w:ascii="Montserrat" w:hAnsi="Montserrat" w:cs="Arial"/>
                      <w:color w:val="717A8A"/>
                      <w:position w:val="17"/>
                      <w:sz w:val="24"/>
                      <w:szCs w:val="24"/>
                    </w:rPr>
                    <w:t>CanShare</w:t>
                  </w:r>
                  <w:proofErr w:type="spellEnd"/>
                  <w:r>
                    <w:rPr>
                      <w:rStyle w:val="font-montserrat"/>
                      <w:rFonts w:ascii="Montserrat" w:hAnsi="Montserrat" w:cs="Arial"/>
                      <w:color w:val="717A8A"/>
                      <w:position w:val="17"/>
                      <w:sz w:val="24"/>
                      <w:szCs w:val="24"/>
                    </w:rPr>
                    <w:t xml:space="preserve"> newsletter, keeping you up to date on our programme to implement national sharing of cancer information to support the clinician and person/</w:t>
                  </w:r>
                  <w:proofErr w:type="spellStart"/>
                  <w:r>
                    <w:rPr>
                      <w:rStyle w:val="font-montserrat"/>
                      <w:rFonts w:ascii="Montserrat" w:hAnsi="Montserrat" w:cs="Arial"/>
                      <w:color w:val="717A8A"/>
                      <w:position w:val="17"/>
                      <w:sz w:val="24"/>
                      <w:szCs w:val="24"/>
                    </w:rPr>
                    <w:t>whānau</w:t>
                  </w:r>
                  <w:proofErr w:type="spellEnd"/>
                  <w:r>
                    <w:rPr>
                      <w:rStyle w:val="font-montserrat"/>
                      <w:rFonts w:ascii="Montserrat" w:hAnsi="Montserrat" w:cs="Arial"/>
                      <w:color w:val="717A8A"/>
                      <w:position w:val="17"/>
                      <w:sz w:val="24"/>
                      <w:szCs w:val="24"/>
                    </w:rPr>
                    <w:t xml:space="preserve"> at the time and place of care.</w:t>
                  </w:r>
                </w:p>
                <w:p w14:paraId="3FB78E81"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I want to acknowledge the generous contribution that nearly 200 clinicians have made to the </w:t>
                  </w:r>
                  <w:proofErr w:type="spellStart"/>
                  <w:r>
                    <w:rPr>
                      <w:rStyle w:val="font-montserrat"/>
                      <w:rFonts w:ascii="Montserrat" w:hAnsi="Montserrat" w:cs="Arial"/>
                      <w:color w:val="717A8A"/>
                      <w:position w:val="17"/>
                      <w:sz w:val="24"/>
                      <w:szCs w:val="24"/>
                    </w:rPr>
                    <w:t>CanShare</w:t>
                  </w:r>
                  <w:proofErr w:type="spellEnd"/>
                  <w:r>
                    <w:rPr>
                      <w:rStyle w:val="font-montserrat"/>
                      <w:rFonts w:ascii="Montserrat" w:hAnsi="Montserrat" w:cs="Arial"/>
                      <w:color w:val="717A8A"/>
                      <w:position w:val="17"/>
                      <w:sz w:val="24"/>
                      <w:szCs w:val="24"/>
                    </w:rPr>
                    <w:t xml:space="preserve"> programme over the past year - especially remarkable given the challenges the health system has faced.  </w:t>
                  </w:r>
                </w:p>
                <w:p w14:paraId="7FE2AF58"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We have two new DMR team members: Kate Wakefield, oncology pharmacist; and Tash Hope, radiation therapist. Both have already made an impact with their knowledge and eagerness to contribute to improving cancer care in Aotearoa.</w:t>
                  </w:r>
                </w:p>
                <w:p w14:paraId="366DC3EC"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We are also collaborating with Dr Scott Campbell, an Associate Professor at the University of Nebraska, on the authoring of </w:t>
                  </w:r>
                  <w:hyperlink r:id="rId6" w:history="1">
                    <w:r>
                      <w:rPr>
                        <w:rStyle w:val="Hyperlink"/>
                        <w:rFonts w:ascii="Montserrat" w:hAnsi="Montserrat" w:cs="Arial"/>
                        <w:color w:val="57A607"/>
                        <w:position w:val="17"/>
                        <w:sz w:val="24"/>
                        <w:szCs w:val="24"/>
                      </w:rPr>
                      <w:t>SNOMED CT</w:t>
                    </w:r>
                  </w:hyperlink>
                  <w:r>
                    <w:rPr>
                      <w:rStyle w:val="font-montserrat"/>
                      <w:rFonts w:ascii="Montserrat" w:hAnsi="Montserrat" w:cs="Arial"/>
                      <w:color w:val="717A8A"/>
                      <w:position w:val="17"/>
                      <w:sz w:val="24"/>
                      <w:szCs w:val="24"/>
                    </w:rPr>
                    <w:t xml:space="preserve"> concepts, the ever-important coding system underpinning </w:t>
                  </w:r>
                  <w:proofErr w:type="spellStart"/>
                  <w:r>
                    <w:rPr>
                      <w:rStyle w:val="font-montserrat"/>
                      <w:rFonts w:ascii="Montserrat" w:hAnsi="Montserrat" w:cs="Arial"/>
                      <w:color w:val="717A8A"/>
                      <w:position w:val="17"/>
                      <w:sz w:val="24"/>
                      <w:szCs w:val="24"/>
                    </w:rPr>
                    <w:t>CanShare</w:t>
                  </w:r>
                  <w:proofErr w:type="spellEnd"/>
                  <w:r>
                    <w:rPr>
                      <w:rStyle w:val="font-montserrat"/>
                      <w:rFonts w:ascii="Montserrat" w:hAnsi="Montserrat" w:cs="Arial"/>
                      <w:color w:val="717A8A"/>
                      <w:position w:val="17"/>
                      <w:sz w:val="24"/>
                      <w:szCs w:val="24"/>
                    </w:rPr>
                    <w:t>.</w:t>
                  </w:r>
                </w:p>
                <w:p w14:paraId="2C01FF70"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Recently I had the privilege of briefing the Minister of Health, the Honourable Andrew Little, on the </w:t>
                  </w:r>
                  <w:proofErr w:type="spellStart"/>
                  <w:r>
                    <w:rPr>
                      <w:rStyle w:val="font-montserrat"/>
                      <w:rFonts w:ascii="Montserrat" w:hAnsi="Montserrat" w:cs="Arial"/>
                      <w:color w:val="717A8A"/>
                      <w:position w:val="17"/>
                      <w:sz w:val="24"/>
                      <w:szCs w:val="24"/>
                    </w:rPr>
                    <w:t>CanShare</w:t>
                  </w:r>
                  <w:proofErr w:type="spellEnd"/>
                  <w:r>
                    <w:rPr>
                      <w:rStyle w:val="font-montserrat"/>
                      <w:rFonts w:ascii="Montserrat" w:hAnsi="Montserrat" w:cs="Arial"/>
                      <w:color w:val="717A8A"/>
                      <w:position w:val="17"/>
                      <w:sz w:val="24"/>
                      <w:szCs w:val="24"/>
                    </w:rPr>
                    <w:t xml:space="preserve"> programme and he has expressed an interest in how this important initiative progresses. </w:t>
                  </w:r>
                </w:p>
                <w:p w14:paraId="63B14932"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In this issue we highlight our commitment to Te Tiriti of Waitangi and equity, provide updates on some of our key work and shine the spotlight on Dr Chris Jackson, medical oncologist, and  Dr David Hay, health informatician and </w:t>
                  </w:r>
                  <w:hyperlink r:id="rId7" w:history="1">
                    <w:r>
                      <w:rPr>
                        <w:rStyle w:val="Hyperlink"/>
                        <w:rFonts w:ascii="Montserrat" w:hAnsi="Montserrat" w:cs="Arial"/>
                        <w:color w:val="57A607"/>
                        <w:position w:val="17"/>
                        <w:sz w:val="24"/>
                        <w:szCs w:val="24"/>
                      </w:rPr>
                      <w:t>FHIR</w:t>
                    </w:r>
                  </w:hyperlink>
                  <w:r>
                    <w:rPr>
                      <w:rStyle w:val="font-montserrat"/>
                      <w:rFonts w:ascii="Montserrat" w:hAnsi="Montserrat" w:cs="Arial"/>
                      <w:color w:val="717A8A"/>
                      <w:position w:val="17"/>
                      <w:sz w:val="24"/>
                      <w:szCs w:val="24"/>
                    </w:rPr>
                    <w:t xml:space="preserve"> expert. Their expertise and commitment directly support improvements in the national delivery of cancer care. </w:t>
                  </w:r>
                </w:p>
                <w:p w14:paraId="38D6899A" w14:textId="77777777" w:rsidR="004305BD" w:rsidRDefault="004305BD">
                  <w:pPr>
                    <w:pStyle w:val="NormalWeb"/>
                    <w:spacing w:before="300" w:beforeAutospacing="0" w:after="0" w:afterAutospacing="0" w:line="360" w:lineRule="atLeast"/>
                    <w:textAlignment w:val="center"/>
                    <w:rPr>
                      <w:rStyle w:val="font-montserrat"/>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There are some exciting developments currently underway - I am looking forward to sharing these next year. I hope you all can take a well-deserved break over Christmas and New </w:t>
                  </w:r>
                  <w:proofErr w:type="gramStart"/>
                  <w:r>
                    <w:rPr>
                      <w:rStyle w:val="font-montserrat"/>
                      <w:rFonts w:ascii="Montserrat" w:hAnsi="Montserrat" w:cs="Arial"/>
                      <w:color w:val="717A8A"/>
                      <w:position w:val="17"/>
                      <w:sz w:val="24"/>
                      <w:szCs w:val="24"/>
                    </w:rPr>
                    <w:t>Year</w:t>
                  </w:r>
                  <w:proofErr w:type="gramEnd"/>
                  <w:r>
                    <w:rPr>
                      <w:rStyle w:val="font-montserrat"/>
                      <w:rFonts w:ascii="Montserrat" w:hAnsi="Montserrat" w:cs="Arial"/>
                      <w:color w:val="717A8A"/>
                      <w:position w:val="17"/>
                      <w:sz w:val="24"/>
                      <w:szCs w:val="24"/>
                    </w:rPr>
                    <w:t xml:space="preserve"> and I look forward to connecting again in 2023. </w:t>
                  </w:r>
                </w:p>
                <w:p w14:paraId="2351F761" w14:textId="78498DEC"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p>
              </w:tc>
            </w:tr>
          </w:tbl>
          <w:p w14:paraId="0AD5692D" w14:textId="77777777" w:rsidR="004305BD" w:rsidRDefault="004305BD">
            <w:pPr>
              <w:spacing w:line="300" w:lineRule="exact"/>
              <w:rPr>
                <w:rFonts w:eastAsia="Times New Roman"/>
                <w:sz w:val="30"/>
                <w:szCs w:val="30"/>
              </w:rPr>
            </w:pPr>
            <w:r>
              <w:rPr>
                <w:rFonts w:eastAsia="Times New Roman"/>
                <w:sz w:val="30"/>
                <w:szCs w:val="30"/>
              </w:rPr>
              <w:t> </w:t>
            </w:r>
          </w:p>
          <w:tbl>
            <w:tblPr>
              <w:tblW w:w="0" w:type="auto"/>
              <w:jc w:val="center"/>
              <w:tblCellMar>
                <w:left w:w="0" w:type="dxa"/>
                <w:right w:w="0" w:type="dxa"/>
              </w:tblCellMar>
              <w:tblLook w:val="04A0" w:firstRow="1" w:lastRow="0" w:firstColumn="1" w:lastColumn="0" w:noHBand="0" w:noVBand="1"/>
            </w:tblPr>
            <w:tblGrid>
              <w:gridCol w:w="9000"/>
            </w:tblGrid>
            <w:tr w:rsidR="004305BD" w14:paraId="32B5A367" w14:textId="77777777">
              <w:trPr>
                <w:jc w:val="center"/>
              </w:trPr>
              <w:tc>
                <w:tcPr>
                  <w:tcW w:w="9000" w:type="dxa"/>
                  <w:shd w:val="clear" w:color="auto" w:fill="FFFFFF"/>
                  <w:vAlign w:val="center"/>
                  <w:hideMark/>
                </w:tcPr>
                <w:p w14:paraId="38309BFF" w14:textId="77777777" w:rsidR="004305BD" w:rsidRDefault="004305BD">
                  <w:pPr>
                    <w:spacing w:after="240" w:line="480" w:lineRule="exact"/>
                    <w:textAlignment w:val="center"/>
                    <w:outlineLvl w:val="2"/>
                    <w:rPr>
                      <w:rFonts w:ascii="Montserrat" w:eastAsia="Times New Roman" w:hAnsi="Montserrat" w:cs="Arial"/>
                      <w:color w:val="3D3B3D"/>
                      <w:position w:val="17"/>
                      <w:sz w:val="36"/>
                      <w:szCs w:val="36"/>
                    </w:rPr>
                  </w:pPr>
                  <w:r>
                    <w:rPr>
                      <w:rStyle w:val="font-montserrat"/>
                      <w:rFonts w:ascii="Montserrat" w:eastAsia="Times New Roman" w:hAnsi="Montserrat" w:cs="Arial"/>
                      <w:color w:val="3D3B3D"/>
                      <w:position w:val="17"/>
                      <w:sz w:val="36"/>
                      <w:szCs w:val="36"/>
                    </w:rPr>
                    <w:t xml:space="preserve">Upholding Te Tiriti o Waitangi, being an equity-led and </w:t>
                  </w:r>
                  <w:proofErr w:type="spellStart"/>
                  <w:r>
                    <w:rPr>
                      <w:rStyle w:val="font-montserrat"/>
                      <w:rFonts w:ascii="Montserrat" w:eastAsia="Times New Roman" w:hAnsi="Montserrat" w:cs="Arial"/>
                      <w:color w:val="3D3B3D"/>
                      <w:position w:val="17"/>
                      <w:sz w:val="36"/>
                      <w:szCs w:val="36"/>
                    </w:rPr>
                    <w:t>whānau-centered</w:t>
                  </w:r>
                  <w:proofErr w:type="spellEnd"/>
                  <w:r>
                    <w:rPr>
                      <w:rStyle w:val="font-montserrat"/>
                      <w:rFonts w:ascii="Montserrat" w:eastAsia="Times New Roman" w:hAnsi="Montserrat" w:cs="Arial"/>
                      <w:color w:val="3D3B3D"/>
                      <w:position w:val="17"/>
                      <w:sz w:val="36"/>
                      <w:szCs w:val="36"/>
                    </w:rPr>
                    <w:t xml:space="preserve"> Agency</w:t>
                  </w:r>
                </w:p>
                <w:p w14:paraId="3BDD4567" w14:textId="11DF1F3B" w:rsidR="004305BD" w:rsidRDefault="004305BD">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71B922E0" wp14:editId="1CB9758B">
                        <wp:extent cx="5715000" cy="2876550"/>
                        <wp:effectExtent l="0" t="0" r="0" b="0"/>
                        <wp:docPr id="11" name="Picture 11" descr="CanShare logo in grey with the words 'Sharing Cance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Share logo in grey with the words 'Sharing Cancer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876550"/>
                                </a:xfrm>
                                <a:prstGeom prst="rect">
                                  <a:avLst/>
                                </a:prstGeom>
                                <a:noFill/>
                                <a:ln>
                                  <a:noFill/>
                                </a:ln>
                              </pic:spPr>
                            </pic:pic>
                          </a:graphicData>
                        </a:graphic>
                      </wp:inline>
                    </w:drawing>
                  </w:r>
                </w:p>
                <w:p w14:paraId="32BC4A00" w14:textId="77777777" w:rsidR="004305BD" w:rsidRDefault="004305BD">
                  <w:pPr>
                    <w:pStyle w:val="NormalWeb"/>
                    <w:spacing w:before="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Our work often involves researching and analysing cancer data to inform best practice. We are committed to ensuring appropriate safeguards are in place to </w:t>
                  </w:r>
                  <w:proofErr w:type="spellStart"/>
                  <w:r>
                    <w:rPr>
                      <w:rStyle w:val="font-montserrat"/>
                      <w:rFonts w:ascii="Montserrat" w:hAnsi="Montserrat" w:cs="Arial"/>
                      <w:color w:val="717A8A"/>
                      <w:position w:val="17"/>
                      <w:sz w:val="24"/>
                      <w:szCs w:val="24"/>
                    </w:rPr>
                    <w:t>to</w:t>
                  </w:r>
                  <w:proofErr w:type="spellEnd"/>
                  <w:r>
                    <w:rPr>
                      <w:rStyle w:val="font-montserrat"/>
                      <w:rFonts w:ascii="Montserrat" w:hAnsi="Montserrat" w:cs="Arial"/>
                      <w:color w:val="717A8A"/>
                      <w:position w:val="17"/>
                      <w:sz w:val="24"/>
                      <w:szCs w:val="24"/>
                    </w:rPr>
                    <w:t xml:space="preserve"> protect individuals' data including: </w:t>
                  </w:r>
                </w:p>
                <w:p w14:paraId="7C6FA3B5"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w:t>
                  </w:r>
                </w:p>
                <w:p w14:paraId="61E8626B" w14:textId="77777777" w:rsidR="004305BD" w:rsidRDefault="004305BD" w:rsidP="009E2228">
                  <w:pPr>
                    <w:pStyle w:val="NormalWeb"/>
                    <w:numPr>
                      <w:ilvl w:val="0"/>
                      <w:numId w:val="1"/>
                    </w:numPr>
                    <w:spacing w:before="0" w:beforeAutospacing="0" w:after="300" w:afterAutospacing="0" w:line="360" w:lineRule="atLeast"/>
                    <w:ind w:left="1080"/>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ensuring all cancer information is used appropriately for the purpose for which it was intended</w:t>
                  </w:r>
                </w:p>
                <w:p w14:paraId="2B1492E4" w14:textId="77777777" w:rsidR="004305BD" w:rsidRDefault="004305BD" w:rsidP="009E2228">
                  <w:pPr>
                    <w:pStyle w:val="NormalWeb"/>
                    <w:numPr>
                      <w:ilvl w:val="0"/>
                      <w:numId w:val="1"/>
                    </w:numPr>
                    <w:spacing w:before="0" w:beforeAutospacing="0" w:after="300" w:afterAutospacing="0" w:line="360" w:lineRule="atLeast"/>
                    <w:ind w:left="1080"/>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giving effect to Te Tiriti o Waitangi by treating data as a taonga (treasure) to secure and protect Māori data from misuse. We recognise the rights and interests of Māori in the collection, ownership, and application of data.  </w:t>
                  </w:r>
                </w:p>
                <w:p w14:paraId="4F53FD82"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This commitment is fundamental to driving equity-focused decisions and to ensure Māori have the information they need to exercise their </w:t>
                  </w:r>
                  <w:proofErr w:type="spellStart"/>
                  <w:r>
                    <w:rPr>
                      <w:rStyle w:val="font-montserrat"/>
                      <w:rFonts w:ascii="Montserrat" w:hAnsi="Montserrat" w:cs="Arial"/>
                      <w:color w:val="717A8A"/>
                      <w:position w:val="17"/>
                      <w:sz w:val="24"/>
                      <w:szCs w:val="24"/>
                    </w:rPr>
                    <w:t>tino</w:t>
                  </w:r>
                  <w:proofErr w:type="spellEnd"/>
                  <w:r>
                    <w:rPr>
                      <w:rStyle w:val="font-montserrat"/>
                      <w:rFonts w:ascii="Montserrat" w:hAnsi="Montserrat" w:cs="Arial"/>
                      <w:color w:val="717A8A"/>
                      <w:position w:val="17"/>
                      <w:sz w:val="24"/>
                      <w:szCs w:val="24"/>
                    </w:rPr>
                    <w:t xml:space="preserve"> rangatiratanga.  </w:t>
                  </w:r>
                </w:p>
                <w:p w14:paraId="64314568"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Strong"/>
                      <w:rFonts w:ascii="Montserrat" w:hAnsi="Montserrat" w:cs="Arial"/>
                      <w:i/>
                      <w:iCs/>
                      <w:color w:val="717A8A"/>
                      <w:position w:val="17"/>
                      <w:sz w:val="24"/>
                      <w:szCs w:val="24"/>
                    </w:rPr>
                    <w:t>Our approach</w:t>
                  </w:r>
                  <w:r>
                    <w:rPr>
                      <w:rStyle w:val="font-montserrat"/>
                      <w:rFonts w:ascii="Montserrat" w:hAnsi="Montserrat" w:cs="Arial"/>
                      <w:color w:val="717A8A"/>
                      <w:position w:val="17"/>
                      <w:sz w:val="24"/>
                      <w:szCs w:val="24"/>
                    </w:rPr>
                    <w:t> </w:t>
                  </w:r>
                </w:p>
                <w:p w14:paraId="5140972C"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We are actively working to better understand and put into practice our obligations including safeguards for all our data projects and activities. We are in a unique position to harness the equity-led capability and focus of Te Aho o Te Kahu to guide our mahi.</w:t>
                  </w:r>
                </w:p>
                <w:p w14:paraId="35F45E82"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We are currently:</w:t>
                  </w:r>
                </w:p>
                <w:p w14:paraId="7ADA6DCD" w14:textId="77777777" w:rsidR="004305BD" w:rsidRDefault="004305BD" w:rsidP="009E2228">
                  <w:pPr>
                    <w:pStyle w:val="NormalWeb"/>
                    <w:numPr>
                      <w:ilvl w:val="0"/>
                      <w:numId w:val="2"/>
                    </w:numPr>
                    <w:spacing w:before="0" w:beforeAutospacing="0" w:after="300" w:afterAutospacing="0" w:line="360" w:lineRule="atLeast"/>
                    <w:ind w:left="1080"/>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undertaking an environment scan of the data governance and Māori data sovereignty work underway by Te Aka </w:t>
                  </w:r>
                  <w:proofErr w:type="spellStart"/>
                  <w:r>
                    <w:rPr>
                      <w:rStyle w:val="font-montserrat"/>
                      <w:rFonts w:ascii="Montserrat" w:hAnsi="Montserrat" w:cs="Arial"/>
                      <w:color w:val="717A8A"/>
                      <w:position w:val="17"/>
                      <w:sz w:val="24"/>
                      <w:szCs w:val="24"/>
                    </w:rPr>
                    <w:t>Whai</w:t>
                  </w:r>
                  <w:proofErr w:type="spellEnd"/>
                  <w:r>
                    <w:rPr>
                      <w:rStyle w:val="font-montserrat"/>
                      <w:rFonts w:ascii="Montserrat" w:hAnsi="Montserrat" w:cs="Arial"/>
                      <w:color w:val="717A8A"/>
                      <w:position w:val="17"/>
                      <w:sz w:val="24"/>
                      <w:szCs w:val="24"/>
                    </w:rPr>
                    <w:t xml:space="preserve"> Ora with </w:t>
                  </w:r>
                  <w:proofErr w:type="spellStart"/>
                  <w:r>
                    <w:rPr>
                      <w:rStyle w:val="font-montserrat"/>
                      <w:rFonts w:ascii="Montserrat" w:hAnsi="Montserrat" w:cs="Arial"/>
                      <w:color w:val="717A8A"/>
                      <w:position w:val="17"/>
                      <w:sz w:val="24"/>
                      <w:szCs w:val="24"/>
                    </w:rPr>
                    <w:t>Manatū</w:t>
                  </w:r>
                  <w:proofErr w:type="spellEnd"/>
                  <w:r>
                    <w:rPr>
                      <w:rStyle w:val="font-montserrat"/>
                      <w:rFonts w:ascii="Montserrat" w:hAnsi="Montserrat" w:cs="Arial"/>
                      <w:color w:val="717A8A"/>
                      <w:position w:val="17"/>
                      <w:sz w:val="24"/>
                      <w:szCs w:val="24"/>
                    </w:rPr>
                    <w:t xml:space="preserve"> Hauora and Te </w:t>
                  </w:r>
                  <w:proofErr w:type="spellStart"/>
                  <w:r>
                    <w:rPr>
                      <w:rStyle w:val="font-montserrat"/>
                      <w:rFonts w:ascii="Montserrat" w:hAnsi="Montserrat" w:cs="Arial"/>
                      <w:color w:val="717A8A"/>
                      <w:position w:val="17"/>
                      <w:sz w:val="24"/>
                      <w:szCs w:val="24"/>
                    </w:rPr>
                    <w:t>Whatu</w:t>
                  </w:r>
                  <w:proofErr w:type="spellEnd"/>
                  <w:r>
                    <w:rPr>
                      <w:rStyle w:val="font-montserrat"/>
                      <w:rFonts w:ascii="Montserrat" w:hAnsi="Montserrat" w:cs="Arial"/>
                      <w:color w:val="717A8A"/>
                      <w:position w:val="17"/>
                      <w:sz w:val="24"/>
                      <w:szCs w:val="24"/>
                    </w:rPr>
                    <w:t xml:space="preserve"> Ora to understand current direction of travel, </w:t>
                  </w:r>
                  <w:proofErr w:type="gramStart"/>
                  <w:r>
                    <w:rPr>
                      <w:rStyle w:val="font-montserrat"/>
                      <w:rFonts w:ascii="Montserrat" w:hAnsi="Montserrat" w:cs="Arial"/>
                      <w:color w:val="717A8A"/>
                      <w:position w:val="17"/>
                      <w:sz w:val="24"/>
                      <w:szCs w:val="24"/>
                    </w:rPr>
                    <w:t>timelines</w:t>
                  </w:r>
                  <w:proofErr w:type="gramEnd"/>
                  <w:r>
                    <w:rPr>
                      <w:rStyle w:val="font-montserrat"/>
                      <w:rFonts w:ascii="Montserrat" w:hAnsi="Montserrat" w:cs="Arial"/>
                      <w:color w:val="717A8A"/>
                      <w:position w:val="17"/>
                      <w:sz w:val="24"/>
                      <w:szCs w:val="24"/>
                    </w:rPr>
                    <w:t xml:space="preserve"> and implications</w:t>
                  </w:r>
                </w:p>
                <w:p w14:paraId="28B343BD" w14:textId="77777777" w:rsidR="004305BD" w:rsidRDefault="004305BD" w:rsidP="009E2228">
                  <w:pPr>
                    <w:pStyle w:val="NormalWeb"/>
                    <w:numPr>
                      <w:ilvl w:val="0"/>
                      <w:numId w:val="3"/>
                    </w:numPr>
                    <w:spacing w:before="0" w:beforeAutospacing="0" w:after="300" w:afterAutospacing="0" w:line="360" w:lineRule="atLeast"/>
                    <w:ind w:left="1080"/>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working with </w:t>
                  </w:r>
                  <w:hyperlink r:id="rId9" w:history="1">
                    <w:r>
                      <w:rPr>
                        <w:rStyle w:val="Hyperlink"/>
                        <w:rFonts w:ascii="Montserrat" w:hAnsi="Montserrat" w:cs="Arial"/>
                        <w:color w:val="57A607"/>
                        <w:position w:val="17"/>
                        <w:sz w:val="24"/>
                        <w:szCs w:val="24"/>
                      </w:rPr>
                      <w:t xml:space="preserve">Hei </w:t>
                    </w:r>
                    <w:proofErr w:type="spellStart"/>
                    <w:r>
                      <w:rPr>
                        <w:rStyle w:val="Hyperlink"/>
                        <w:rFonts w:ascii="Montserrat" w:hAnsi="Montserrat" w:cs="Arial"/>
                        <w:color w:val="57A607"/>
                        <w:position w:val="17"/>
                        <w:sz w:val="24"/>
                        <w:szCs w:val="24"/>
                      </w:rPr>
                      <w:t>Āhuru</w:t>
                    </w:r>
                    <w:proofErr w:type="spellEnd"/>
                    <w:r>
                      <w:rPr>
                        <w:rStyle w:val="Hyperlink"/>
                        <w:rFonts w:ascii="Montserrat" w:hAnsi="Montserrat" w:cs="Arial"/>
                        <w:color w:val="57A607"/>
                        <w:position w:val="17"/>
                        <w:sz w:val="24"/>
                        <w:szCs w:val="24"/>
                      </w:rPr>
                      <w:t xml:space="preserve"> </w:t>
                    </w:r>
                    <w:proofErr w:type="spellStart"/>
                    <w:r>
                      <w:rPr>
                        <w:rStyle w:val="Hyperlink"/>
                        <w:rFonts w:ascii="Montserrat" w:hAnsi="Montserrat" w:cs="Arial"/>
                        <w:color w:val="57A607"/>
                        <w:position w:val="17"/>
                        <w:sz w:val="24"/>
                        <w:szCs w:val="24"/>
                      </w:rPr>
                      <w:t>Mōwai</w:t>
                    </w:r>
                    <w:proofErr w:type="spellEnd"/>
                  </w:hyperlink>
                  <w:r>
                    <w:rPr>
                      <w:rStyle w:val="font-montserrat"/>
                      <w:rFonts w:ascii="Montserrat" w:hAnsi="Montserrat" w:cs="Arial"/>
                      <w:color w:val="717A8A"/>
                      <w:position w:val="17"/>
                      <w:sz w:val="24"/>
                      <w:szCs w:val="24"/>
                    </w:rPr>
                    <w:t xml:space="preserve"> to connect with Māori data governance and sovereignty expertise </w:t>
                  </w:r>
                </w:p>
                <w:p w14:paraId="003A83A7" w14:textId="77777777" w:rsidR="004305BD" w:rsidRDefault="004305BD" w:rsidP="009E2228">
                  <w:pPr>
                    <w:pStyle w:val="NormalWeb"/>
                    <w:numPr>
                      <w:ilvl w:val="0"/>
                      <w:numId w:val="3"/>
                    </w:numPr>
                    <w:spacing w:before="0" w:beforeAutospacing="0" w:after="300" w:afterAutospacing="0" w:line="360" w:lineRule="atLeast"/>
                    <w:ind w:left="1080"/>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engaging with groups such as </w:t>
                  </w:r>
                  <w:hyperlink r:id="rId10" w:history="1">
                    <w:r>
                      <w:rPr>
                        <w:rStyle w:val="Hyperlink"/>
                        <w:rFonts w:ascii="Montserrat" w:hAnsi="Montserrat" w:cs="Arial"/>
                        <w:color w:val="57A607"/>
                        <w:position w:val="17"/>
                        <w:sz w:val="24"/>
                        <w:szCs w:val="24"/>
                      </w:rPr>
                      <w:t xml:space="preserve">He Ara </w:t>
                    </w:r>
                    <w:proofErr w:type="spellStart"/>
                    <w:r>
                      <w:rPr>
                        <w:rStyle w:val="Hyperlink"/>
                        <w:rFonts w:ascii="Montserrat" w:hAnsi="Montserrat" w:cs="Arial"/>
                        <w:color w:val="57A607"/>
                        <w:position w:val="17"/>
                        <w:sz w:val="24"/>
                        <w:szCs w:val="24"/>
                      </w:rPr>
                      <w:t>Tangata</w:t>
                    </w:r>
                    <w:proofErr w:type="spellEnd"/>
                  </w:hyperlink>
                  <w:r>
                    <w:rPr>
                      <w:rStyle w:val="font-montserrat"/>
                      <w:rFonts w:ascii="Montserrat" w:hAnsi="Montserrat" w:cs="Arial"/>
                      <w:color w:val="717A8A"/>
                      <w:position w:val="17"/>
                      <w:sz w:val="24"/>
                      <w:szCs w:val="24"/>
                    </w:rPr>
                    <w:t xml:space="preserve">, our Consumer Reference Group to seek their input </w:t>
                  </w:r>
                  <w:proofErr w:type="spellStart"/>
                  <w:r>
                    <w:rPr>
                      <w:rStyle w:val="font-montserrat"/>
                      <w:rFonts w:ascii="Montserrat" w:hAnsi="Montserrat" w:cs="Arial"/>
                      <w:color w:val="717A8A"/>
                      <w:position w:val="17"/>
                      <w:sz w:val="24"/>
                      <w:szCs w:val="24"/>
                    </w:rPr>
                    <w:t>eg</w:t>
                  </w:r>
                  <w:proofErr w:type="spellEnd"/>
                  <w:r>
                    <w:rPr>
                      <w:rStyle w:val="font-montserrat"/>
                      <w:rFonts w:ascii="Montserrat" w:hAnsi="Montserrat" w:cs="Arial"/>
                      <w:color w:val="717A8A"/>
                      <w:position w:val="17"/>
                      <w:sz w:val="24"/>
                      <w:szCs w:val="24"/>
                    </w:rPr>
                    <w:t>, patient factors for anti-cancer systemic therapies</w:t>
                  </w:r>
                </w:p>
                <w:p w14:paraId="5FD956E9" w14:textId="77777777" w:rsidR="004305BD" w:rsidRDefault="004305BD" w:rsidP="009E2228">
                  <w:pPr>
                    <w:pStyle w:val="NormalWeb"/>
                    <w:numPr>
                      <w:ilvl w:val="0"/>
                      <w:numId w:val="3"/>
                    </w:numPr>
                    <w:spacing w:before="0" w:beforeAutospacing="0" w:after="300" w:afterAutospacing="0" w:line="360" w:lineRule="atLeast"/>
                    <w:ind w:left="1080"/>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updating equity impact assessments for key development projects</w:t>
                  </w:r>
                </w:p>
                <w:p w14:paraId="2FE82028" w14:textId="77777777" w:rsidR="004305BD" w:rsidRDefault="004305BD" w:rsidP="009E2228">
                  <w:pPr>
                    <w:pStyle w:val="NormalWeb"/>
                    <w:numPr>
                      <w:ilvl w:val="0"/>
                      <w:numId w:val="3"/>
                    </w:numPr>
                    <w:spacing w:before="0" w:beforeAutospacing="0" w:after="300" w:afterAutospacing="0" w:line="360" w:lineRule="atLeast"/>
                    <w:ind w:left="1080"/>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supporting equity-focused data analytics activities </w:t>
                  </w:r>
                  <w:proofErr w:type="spellStart"/>
                  <w:r>
                    <w:rPr>
                      <w:rStyle w:val="font-montserrat"/>
                      <w:rFonts w:ascii="Montserrat" w:hAnsi="Montserrat" w:cs="Arial"/>
                      <w:color w:val="717A8A"/>
                      <w:position w:val="17"/>
                      <w:sz w:val="24"/>
                      <w:szCs w:val="24"/>
                    </w:rPr>
                    <w:t>eg</w:t>
                  </w:r>
                  <w:proofErr w:type="spellEnd"/>
                  <w:r>
                    <w:rPr>
                      <w:rStyle w:val="font-montserrat"/>
                      <w:rFonts w:ascii="Montserrat" w:hAnsi="Montserrat" w:cs="Arial"/>
                      <w:color w:val="717A8A"/>
                      <w:position w:val="17"/>
                      <w:sz w:val="24"/>
                      <w:szCs w:val="24"/>
                    </w:rPr>
                    <w:t>, </w:t>
                  </w:r>
                  <w:hyperlink r:id="rId11" w:history="1">
                    <w:r>
                      <w:rPr>
                        <w:rStyle w:val="Hyperlink"/>
                        <w:rFonts w:ascii="Montserrat" w:hAnsi="Montserrat" w:cs="Arial"/>
                        <w:color w:val="57A607"/>
                        <w:position w:val="17"/>
                        <w:sz w:val="24"/>
                        <w:szCs w:val="24"/>
                      </w:rPr>
                      <w:t>Quality Performance Indicators</w:t>
                    </w:r>
                  </w:hyperlink>
                  <w:r>
                    <w:rPr>
                      <w:rStyle w:val="font-montserrat"/>
                      <w:rFonts w:ascii="Montserrat" w:hAnsi="Montserrat" w:cs="Arial"/>
                      <w:color w:val="717A8A"/>
                      <w:position w:val="17"/>
                      <w:sz w:val="24"/>
                      <w:szCs w:val="24"/>
                    </w:rPr>
                    <w:t xml:space="preserve"> (QPIs). </w:t>
                  </w:r>
                </w:p>
                <w:p w14:paraId="77267BE4" w14:textId="77777777" w:rsidR="004305BD" w:rsidRDefault="004305BD">
                  <w:pPr>
                    <w:pStyle w:val="NormalWeb"/>
                    <w:spacing w:before="300" w:beforeAutospacing="0" w:after="30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As we continue delivering critical projects our 'nothing about me without me' approach will enable us to deliver together more effectively.  </w:t>
                  </w:r>
                </w:p>
                <w:p w14:paraId="1A6BC01C" w14:textId="77777777" w:rsidR="004305BD" w:rsidRDefault="004305BD">
                  <w:pPr>
                    <w:spacing w:line="120" w:lineRule="exact"/>
                    <w:rPr>
                      <w:rFonts w:ascii="Arial" w:eastAsia="Times New Roman" w:hAnsi="Arial" w:cs="Arial"/>
                      <w:color w:val="717A8A"/>
                      <w:sz w:val="2"/>
                      <w:szCs w:val="2"/>
                    </w:rPr>
                  </w:pPr>
                  <w:r>
                    <w:rPr>
                      <w:rFonts w:ascii="Arial" w:eastAsia="Times New Roman" w:hAnsi="Arial" w:cs="Arial"/>
                      <w:color w:val="717A8A"/>
                      <w:sz w:val="2"/>
                      <w:szCs w:val="2"/>
                    </w:rPr>
                    <w:t> </w:t>
                  </w:r>
                </w:p>
              </w:tc>
            </w:tr>
          </w:tbl>
          <w:p w14:paraId="7D4A66DA" w14:textId="77777777" w:rsidR="004305BD" w:rsidRDefault="004305BD">
            <w:pPr>
              <w:spacing w:line="300" w:lineRule="exact"/>
              <w:rPr>
                <w:rFonts w:eastAsia="Times New Roman"/>
                <w:sz w:val="30"/>
                <w:szCs w:val="30"/>
              </w:rPr>
            </w:pPr>
            <w:r>
              <w:rPr>
                <w:rFonts w:eastAsia="Times New Roman"/>
                <w:sz w:val="30"/>
                <w:szCs w:val="30"/>
              </w:rPr>
              <w:t> </w:t>
            </w:r>
          </w:p>
          <w:tbl>
            <w:tblPr>
              <w:tblW w:w="0" w:type="auto"/>
              <w:jc w:val="center"/>
              <w:tblCellMar>
                <w:left w:w="0" w:type="dxa"/>
                <w:right w:w="0" w:type="dxa"/>
              </w:tblCellMar>
              <w:tblLook w:val="04A0" w:firstRow="1" w:lastRow="0" w:firstColumn="1" w:lastColumn="0" w:noHBand="0" w:noVBand="1"/>
            </w:tblPr>
            <w:tblGrid>
              <w:gridCol w:w="9000"/>
            </w:tblGrid>
            <w:tr w:rsidR="004305BD" w14:paraId="310AD7E7" w14:textId="77777777">
              <w:trPr>
                <w:jc w:val="center"/>
              </w:trPr>
              <w:tc>
                <w:tcPr>
                  <w:tcW w:w="9000" w:type="dxa"/>
                  <w:shd w:val="clear" w:color="auto" w:fill="FFFFFF"/>
                  <w:vAlign w:val="center"/>
                  <w:hideMark/>
                </w:tcPr>
                <w:p w14:paraId="2A58C17E" w14:textId="77777777" w:rsidR="004305BD" w:rsidRDefault="004305BD">
                  <w:pPr>
                    <w:spacing w:after="240" w:line="480" w:lineRule="exact"/>
                    <w:textAlignment w:val="center"/>
                    <w:outlineLvl w:val="2"/>
                    <w:rPr>
                      <w:rFonts w:ascii="Montserrat" w:eastAsia="Times New Roman" w:hAnsi="Montserrat" w:cs="Arial"/>
                      <w:color w:val="3D3B3D"/>
                      <w:position w:val="17"/>
                      <w:sz w:val="36"/>
                      <w:szCs w:val="36"/>
                    </w:rPr>
                  </w:pPr>
                  <w:r>
                    <w:rPr>
                      <w:rStyle w:val="font-montserrat"/>
                      <w:rFonts w:ascii="Montserrat" w:eastAsia="Times New Roman" w:hAnsi="Montserrat" w:cs="Arial"/>
                      <w:color w:val="3D3B3D"/>
                      <w:position w:val="17"/>
                      <w:sz w:val="36"/>
                      <w:szCs w:val="36"/>
                    </w:rPr>
                    <w:t>Structured Pathology Reporting of Cancer Data Standards Update</w:t>
                  </w:r>
                </w:p>
                <w:p w14:paraId="2A03C1D6" w14:textId="661F9595" w:rsidR="004305BD" w:rsidRDefault="004305BD">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667BED73" wp14:editId="05B0AE69">
                        <wp:extent cx="5715000" cy="2438400"/>
                        <wp:effectExtent l="0" t="0" r="0" b="0"/>
                        <wp:docPr id="10" name="Picture 10" descr="Close up image of a microscope with a blurred scientist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se up image of a microscope with a blurred scientist in the backgro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438400"/>
                                </a:xfrm>
                                <a:prstGeom prst="rect">
                                  <a:avLst/>
                                </a:prstGeom>
                                <a:noFill/>
                                <a:ln>
                                  <a:noFill/>
                                </a:ln>
                              </pic:spPr>
                            </pic:pic>
                          </a:graphicData>
                        </a:graphic>
                      </wp:inline>
                    </w:drawing>
                  </w:r>
                </w:p>
                <w:p w14:paraId="6D2FF805" w14:textId="77777777" w:rsidR="004305BD" w:rsidRDefault="004305BD">
                  <w:pPr>
                    <w:pStyle w:val="NormalWeb"/>
                    <w:spacing w:before="0" w:beforeAutospacing="0" w:after="0" w:afterAutospacing="0" w:line="360" w:lineRule="atLeast"/>
                    <w:textAlignment w:val="center"/>
                    <w:rPr>
                      <w:rFonts w:ascii="Montserrat" w:hAnsi="Montserrat" w:cs="Arial"/>
                      <w:color w:val="717A8A"/>
                      <w:position w:val="17"/>
                      <w:sz w:val="24"/>
                      <w:szCs w:val="24"/>
                    </w:rPr>
                  </w:pPr>
                  <w:r>
                    <w:rPr>
                      <w:rStyle w:val="Emphasis"/>
                      <w:rFonts w:ascii="Montserrat" w:hAnsi="Montserrat" w:cs="Arial"/>
                      <w:b/>
                      <w:bCs/>
                      <w:color w:val="717A8A"/>
                      <w:position w:val="17"/>
                      <w:sz w:val="24"/>
                      <w:szCs w:val="24"/>
                    </w:rPr>
                    <w:t xml:space="preserve">Background </w:t>
                  </w:r>
                </w:p>
                <w:p w14:paraId="644ACA61"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hyperlink r:id="rId13" w:history="1">
                    <w:r>
                      <w:rPr>
                        <w:rStyle w:val="Hyperlink"/>
                        <w:rFonts w:ascii="Montserrat" w:hAnsi="Montserrat" w:cs="Arial"/>
                        <w:color w:val="57A607"/>
                        <w:position w:val="17"/>
                        <w:sz w:val="24"/>
                        <w:szCs w:val="24"/>
                      </w:rPr>
                      <w:t>Pathology</w:t>
                    </w:r>
                  </w:hyperlink>
                  <w:r>
                    <w:rPr>
                      <w:rStyle w:val="font-montserrat"/>
                      <w:rFonts w:ascii="Montserrat" w:hAnsi="Montserrat" w:cs="Arial"/>
                      <w:color w:val="717A8A"/>
                      <w:position w:val="17"/>
                      <w:sz w:val="24"/>
                      <w:szCs w:val="24"/>
                    </w:rPr>
                    <w:t xml:space="preserve"> is integral to the diagnosis and treatment of cancer. There is an increasing number of parameters needed from pathologists - meaning pathology data systems need to be able to cope with more comprehensive cancer information. However, there are many challenges with legacy and manual data systems and processes, funding, and resourcing constraints.  </w:t>
                  </w:r>
                </w:p>
                <w:p w14:paraId="2442E11A"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We are working with pathology services to support their transition to a more interoperative digital health environment. This will be assisted through the development of data standards to facilitate the sharing of standardised pathology information. </w:t>
                  </w:r>
                </w:p>
                <w:p w14:paraId="34C27192"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Emphasis"/>
                      <w:rFonts w:ascii="Montserrat" w:hAnsi="Montserrat" w:cs="Arial"/>
                      <w:b/>
                      <w:bCs/>
                      <w:color w:val="717A8A"/>
                      <w:position w:val="17"/>
                      <w:sz w:val="24"/>
                      <w:szCs w:val="24"/>
                    </w:rPr>
                    <w:t>Updates </w:t>
                  </w:r>
                </w:p>
                <w:p w14:paraId="228BC0B0"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Significant data standard development is underway led by our pathologists with support from requesting clinicians.</w:t>
                  </w:r>
                </w:p>
                <w:p w14:paraId="666BE0D3" w14:textId="77777777" w:rsidR="004305BD" w:rsidRDefault="004305BD" w:rsidP="009E2228">
                  <w:pPr>
                    <w:pStyle w:val="NormalWeb"/>
                    <w:numPr>
                      <w:ilvl w:val="0"/>
                      <w:numId w:val="4"/>
                    </w:numPr>
                    <w:spacing w:before="0" w:beforeAutospacing="0" w:after="0" w:afterAutospacing="0" w:line="360" w:lineRule="atLeast"/>
                    <w:ind w:left="1080"/>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Draft data standards for breast and thoracic cancers were endorsed in early 2022. </w:t>
                  </w:r>
                </w:p>
                <w:p w14:paraId="539CE408" w14:textId="77777777" w:rsidR="004305BD" w:rsidRDefault="004305BD" w:rsidP="009E2228">
                  <w:pPr>
                    <w:pStyle w:val="NormalWeb"/>
                    <w:numPr>
                      <w:ilvl w:val="0"/>
                      <w:numId w:val="4"/>
                    </w:numPr>
                    <w:spacing w:before="0" w:beforeAutospacing="0" w:after="0" w:afterAutospacing="0" w:line="360" w:lineRule="atLeast"/>
                    <w:ind w:left="1080"/>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The gastrointestinal (GI) workstream is well underway with draft working standards being developed for all cancers. They will then be released for peer review and wider consultation in the new year.  </w:t>
                  </w:r>
                </w:p>
                <w:p w14:paraId="44E4D787" w14:textId="77777777" w:rsidR="004305BD" w:rsidRDefault="004305BD" w:rsidP="009E2228">
                  <w:pPr>
                    <w:pStyle w:val="NormalWeb"/>
                    <w:numPr>
                      <w:ilvl w:val="0"/>
                      <w:numId w:val="4"/>
                    </w:numPr>
                    <w:spacing w:before="0" w:beforeAutospacing="0" w:after="0" w:afterAutospacing="0" w:line="360" w:lineRule="atLeast"/>
                    <w:ind w:left="1080"/>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The gynaecological workstream is currently developing cervical and vaginal standards, followed by the remaining cancers over the coming months. </w:t>
                  </w:r>
                </w:p>
                <w:p w14:paraId="1A2D40F8" w14:textId="77777777" w:rsidR="004305BD" w:rsidRDefault="004305BD" w:rsidP="009E2228">
                  <w:pPr>
                    <w:pStyle w:val="NormalWeb"/>
                    <w:numPr>
                      <w:ilvl w:val="0"/>
                      <w:numId w:val="4"/>
                    </w:numPr>
                    <w:spacing w:before="0" w:beforeAutospacing="0" w:after="0" w:afterAutospacing="0" w:line="360" w:lineRule="atLeast"/>
                    <w:ind w:left="1080"/>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The urinary/male workstream has completed prostate cancers with kidney standards underway. All remaining cancers will be developed over the coming year.  </w:t>
                  </w:r>
                </w:p>
                <w:p w14:paraId="55222549" w14:textId="77777777" w:rsidR="004305BD" w:rsidRDefault="004305BD" w:rsidP="009E2228">
                  <w:pPr>
                    <w:pStyle w:val="NormalWeb"/>
                    <w:numPr>
                      <w:ilvl w:val="0"/>
                      <w:numId w:val="4"/>
                    </w:numPr>
                    <w:spacing w:before="0" w:beforeAutospacing="0" w:after="0" w:afterAutospacing="0" w:line="360" w:lineRule="atLeast"/>
                    <w:ind w:left="1080"/>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The haematological workgroup has just been formed to develop standards for bone marrow, haematopoietic and lymphoid tissue cancers. Draft versions are being developed for peer review before wider consultation in early 2023.  </w:t>
                  </w:r>
                </w:p>
                <w:p w14:paraId="19FD4E65" w14:textId="77777777" w:rsidR="004305BD" w:rsidRDefault="004305BD" w:rsidP="009E2228">
                  <w:pPr>
                    <w:pStyle w:val="NormalWeb"/>
                    <w:numPr>
                      <w:ilvl w:val="0"/>
                      <w:numId w:val="4"/>
                    </w:numPr>
                    <w:spacing w:before="0" w:beforeAutospacing="0" w:after="0" w:afterAutospacing="0" w:line="360" w:lineRule="atLeast"/>
                    <w:ind w:left="1080"/>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We are actively working to better understand and put into practice our obligations and responsibilities to embed Te Tiriti o Waitangi, and being equity led and </w:t>
                  </w:r>
                  <w:proofErr w:type="spellStart"/>
                  <w:r>
                    <w:rPr>
                      <w:rStyle w:val="font-montserrat"/>
                      <w:rFonts w:ascii="Montserrat" w:hAnsi="Montserrat" w:cs="Arial"/>
                      <w:color w:val="717A8A"/>
                      <w:position w:val="17"/>
                      <w:sz w:val="24"/>
                      <w:szCs w:val="24"/>
                    </w:rPr>
                    <w:t>whānau</w:t>
                  </w:r>
                  <w:proofErr w:type="spellEnd"/>
                  <w:r>
                    <w:rPr>
                      <w:rStyle w:val="font-montserrat"/>
                      <w:rFonts w:ascii="Montserrat" w:hAnsi="Montserrat" w:cs="Arial"/>
                      <w:color w:val="717A8A"/>
                      <w:position w:val="17"/>
                      <w:sz w:val="24"/>
                      <w:szCs w:val="24"/>
                    </w:rPr>
                    <w:t xml:space="preserve"> centred in the development of data standards. </w:t>
                  </w:r>
                </w:p>
                <w:p w14:paraId="25B5293F"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Please visit our </w:t>
                  </w:r>
                  <w:hyperlink r:id="rId14" w:history="1">
                    <w:r>
                      <w:rPr>
                        <w:rStyle w:val="Hyperlink"/>
                        <w:rFonts w:ascii="Montserrat" w:hAnsi="Montserrat" w:cs="Arial"/>
                        <w:color w:val="57A607"/>
                        <w:position w:val="17"/>
                        <w:sz w:val="24"/>
                        <w:szCs w:val="24"/>
                      </w:rPr>
                      <w:t>dedicated data standards page</w:t>
                    </w:r>
                  </w:hyperlink>
                  <w:r>
                    <w:rPr>
                      <w:rStyle w:val="font-montserrat"/>
                      <w:rFonts w:ascii="Montserrat" w:hAnsi="Montserrat" w:cs="Arial"/>
                      <w:color w:val="717A8A"/>
                      <w:position w:val="17"/>
                      <w:sz w:val="24"/>
                      <w:szCs w:val="24"/>
                    </w:rPr>
                    <w:t xml:space="preserve"> for more information. </w:t>
                  </w:r>
                </w:p>
                <w:p w14:paraId="31FC2456"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If you want to be actively involved in data standard development, please contact</w:t>
                  </w:r>
                  <w:r>
                    <w:rPr>
                      <w:rStyle w:val="font-montserrat"/>
                      <w:rFonts w:ascii="Times New Roman" w:hAnsi="Times New Roman" w:cs="Times New Roman"/>
                      <w:color w:val="717A8A"/>
                      <w:position w:val="17"/>
                      <w:sz w:val="24"/>
                      <w:szCs w:val="24"/>
                    </w:rPr>
                    <w:t> </w:t>
                  </w:r>
                  <w:hyperlink r:id="rId15" w:history="1">
                    <w:r>
                      <w:rPr>
                        <w:rStyle w:val="Hyperlink"/>
                        <w:rFonts w:ascii="Montserrat" w:hAnsi="Montserrat" w:cs="Arial"/>
                        <w:color w:val="57A607"/>
                        <w:position w:val="17"/>
                        <w:sz w:val="24"/>
                        <w:szCs w:val="24"/>
                      </w:rPr>
                      <w:t>john.manderson@Teaho.govt.nz</w:t>
                    </w:r>
                  </w:hyperlink>
                  <w:r>
                    <w:rPr>
                      <w:rStyle w:val="font-montserrat"/>
                      <w:rFonts w:ascii="Montserrat" w:hAnsi="Montserrat" w:cs="Arial"/>
                      <w:color w:val="717A8A"/>
                      <w:position w:val="17"/>
                      <w:sz w:val="24"/>
                      <w:szCs w:val="24"/>
                    </w:rPr>
                    <w:t>.</w:t>
                  </w:r>
                  <w:r>
                    <w:rPr>
                      <w:rStyle w:val="font-montserrat"/>
                      <w:rFonts w:ascii="Times New Roman" w:hAnsi="Times New Roman" w:cs="Times New Roman"/>
                      <w:color w:val="717A8A"/>
                      <w:position w:val="17"/>
                      <w:sz w:val="24"/>
                      <w:szCs w:val="24"/>
                    </w:rPr>
                    <w:t> </w:t>
                  </w:r>
                  <w:r>
                    <w:rPr>
                      <w:rStyle w:val="font-montserrat"/>
                      <w:rFonts w:ascii="Montserrat" w:hAnsi="Montserrat" w:cs="Arial"/>
                      <w:color w:val="717A8A"/>
                      <w:position w:val="17"/>
                      <w:sz w:val="24"/>
                      <w:szCs w:val="24"/>
                    </w:rPr>
                    <w:t>  </w:t>
                  </w:r>
                </w:p>
              </w:tc>
            </w:tr>
          </w:tbl>
          <w:p w14:paraId="08097889" w14:textId="77777777" w:rsidR="004305BD" w:rsidRDefault="004305BD">
            <w:pPr>
              <w:spacing w:line="300" w:lineRule="exact"/>
              <w:rPr>
                <w:rFonts w:eastAsia="Times New Roman"/>
                <w:sz w:val="30"/>
                <w:szCs w:val="30"/>
              </w:rPr>
            </w:pPr>
            <w:r>
              <w:rPr>
                <w:rFonts w:eastAsia="Times New Roman"/>
                <w:sz w:val="30"/>
                <w:szCs w:val="30"/>
              </w:rPr>
              <w:t> </w:t>
            </w:r>
          </w:p>
          <w:tbl>
            <w:tblPr>
              <w:tblW w:w="0" w:type="auto"/>
              <w:jc w:val="center"/>
              <w:tblCellMar>
                <w:left w:w="0" w:type="dxa"/>
                <w:right w:w="0" w:type="dxa"/>
              </w:tblCellMar>
              <w:tblLook w:val="04A0" w:firstRow="1" w:lastRow="0" w:firstColumn="1" w:lastColumn="0" w:noHBand="0" w:noVBand="1"/>
            </w:tblPr>
            <w:tblGrid>
              <w:gridCol w:w="9000"/>
            </w:tblGrid>
            <w:tr w:rsidR="004305BD" w14:paraId="0CB9D61A" w14:textId="77777777">
              <w:trPr>
                <w:jc w:val="center"/>
              </w:trPr>
              <w:tc>
                <w:tcPr>
                  <w:tcW w:w="9000" w:type="dxa"/>
                  <w:shd w:val="clear" w:color="auto" w:fill="FFFFFF"/>
                  <w:vAlign w:val="center"/>
                  <w:hideMark/>
                </w:tcPr>
                <w:p w14:paraId="6E61DB69" w14:textId="77777777" w:rsidR="004305BD" w:rsidRDefault="004305BD">
                  <w:pPr>
                    <w:spacing w:after="240" w:line="480" w:lineRule="exact"/>
                    <w:textAlignment w:val="center"/>
                    <w:outlineLvl w:val="2"/>
                    <w:rPr>
                      <w:rFonts w:ascii="Montserrat" w:eastAsia="Times New Roman" w:hAnsi="Montserrat" w:cs="Arial"/>
                      <w:color w:val="3D3B3D"/>
                      <w:position w:val="17"/>
                      <w:sz w:val="36"/>
                      <w:szCs w:val="36"/>
                    </w:rPr>
                  </w:pPr>
                  <w:r>
                    <w:rPr>
                      <w:rStyle w:val="font-montserrat"/>
                      <w:rFonts w:ascii="Montserrat" w:eastAsia="Times New Roman" w:hAnsi="Montserrat" w:cs="Arial"/>
                      <w:color w:val="3D3B3D"/>
                      <w:position w:val="17"/>
                      <w:sz w:val="36"/>
                      <w:szCs w:val="36"/>
                    </w:rPr>
                    <w:t>Anti-Cancer Therapy – Nationally Organised Workstreams (ACT-NOW) update</w:t>
                  </w:r>
                </w:p>
                <w:p w14:paraId="3B2B3B76" w14:textId="2A86E68C" w:rsidR="004305BD" w:rsidRDefault="004305BD">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3B513B34" wp14:editId="26E7B4E1">
                        <wp:extent cx="4972050" cy="2204276"/>
                        <wp:effectExtent l="0" t="0" r="0" b="5715"/>
                        <wp:docPr id="9" name="Picture 9" descr="Close up of a fern f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se up of a fern fro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2754" cy="2209021"/>
                                </a:xfrm>
                                <a:prstGeom prst="rect">
                                  <a:avLst/>
                                </a:prstGeom>
                                <a:noFill/>
                                <a:ln>
                                  <a:noFill/>
                                </a:ln>
                              </pic:spPr>
                            </pic:pic>
                          </a:graphicData>
                        </a:graphic>
                      </wp:inline>
                    </w:drawing>
                  </w:r>
                </w:p>
                <w:p w14:paraId="04950280" w14:textId="77777777" w:rsidR="004305BD" w:rsidRDefault="004305BD">
                  <w:pPr>
                    <w:pStyle w:val="NormalWeb"/>
                    <w:spacing w:before="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ACT-NOW seeks to better understand how chemotherapy is being delivered across the country by collecting treatment-related data from public and private chemotherapy providers and working with stakeholders to identify opportunities that can drive improvements for people with cancer and their </w:t>
                  </w:r>
                  <w:proofErr w:type="spellStart"/>
                  <w:r>
                    <w:rPr>
                      <w:rStyle w:val="font-montserrat"/>
                      <w:rFonts w:ascii="Montserrat" w:hAnsi="Montserrat" w:cs="Arial"/>
                      <w:color w:val="717A8A"/>
                      <w:position w:val="17"/>
                      <w:sz w:val="24"/>
                      <w:szCs w:val="24"/>
                    </w:rPr>
                    <w:t>whānau</w:t>
                  </w:r>
                  <w:proofErr w:type="spellEnd"/>
                  <w:r>
                    <w:rPr>
                      <w:rStyle w:val="font-montserrat"/>
                      <w:rFonts w:ascii="Montserrat" w:hAnsi="Montserrat" w:cs="Arial"/>
                      <w:color w:val="717A8A"/>
                      <w:position w:val="17"/>
                      <w:sz w:val="24"/>
                      <w:szCs w:val="24"/>
                    </w:rPr>
                    <w:t>. </w:t>
                  </w:r>
                </w:p>
                <w:p w14:paraId="638D99CD"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All 20 ACT-NOW regimen development workshops have now been held and we are scheduled to have all regimens across adult medical oncology and haematology published to the </w:t>
                  </w:r>
                  <w:hyperlink r:id="rId17" w:history="1">
                    <w:r>
                      <w:rPr>
                        <w:rStyle w:val="Hyperlink"/>
                        <w:rFonts w:ascii="Montserrat" w:hAnsi="Montserrat" w:cs="Arial"/>
                        <w:color w:val="57A607"/>
                        <w:position w:val="17"/>
                        <w:sz w:val="24"/>
                        <w:szCs w:val="24"/>
                      </w:rPr>
                      <w:t>SACT (Systemic Anti-Cancer Therapy) Regimen Library</w:t>
                    </w:r>
                  </w:hyperlink>
                  <w:r>
                    <w:rPr>
                      <w:rStyle w:val="font-montserrat"/>
                      <w:rFonts w:ascii="Montserrat" w:hAnsi="Montserrat" w:cs="Arial"/>
                      <w:color w:val="717A8A"/>
                      <w:position w:val="17"/>
                      <w:sz w:val="24"/>
                      <w:szCs w:val="24"/>
                    </w:rPr>
                    <w:t xml:space="preserve"> in early 2023. Follow-up workshops in 2023 are being planned for most cancer streams, to ensure regimens remain up-to-date and reflective of current practice and medicine availability.  </w:t>
                  </w:r>
                </w:p>
                <w:p w14:paraId="4A523B3E"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We are working closely with Te </w:t>
                  </w:r>
                  <w:proofErr w:type="spellStart"/>
                  <w:r>
                    <w:rPr>
                      <w:rStyle w:val="font-montserrat"/>
                      <w:rFonts w:ascii="Montserrat" w:hAnsi="Montserrat" w:cs="Arial"/>
                      <w:color w:val="717A8A"/>
                      <w:position w:val="17"/>
                      <w:sz w:val="24"/>
                      <w:szCs w:val="24"/>
                    </w:rPr>
                    <w:t>Whatu</w:t>
                  </w:r>
                  <w:proofErr w:type="spellEnd"/>
                  <w:r>
                    <w:rPr>
                      <w:rStyle w:val="font-montserrat"/>
                      <w:rFonts w:ascii="Montserrat" w:hAnsi="Montserrat" w:cs="Arial"/>
                      <w:color w:val="717A8A"/>
                      <w:position w:val="17"/>
                      <w:sz w:val="24"/>
                      <w:szCs w:val="24"/>
                    </w:rPr>
                    <w:t xml:space="preserve"> Ora Data and Digital to design and build a cloud-based IT infrastructure to receive, validate and store ACT-NOW data. This infrastructure is based on the </w:t>
                  </w:r>
                  <w:hyperlink r:id="rId18" w:history="1">
                    <w:r>
                      <w:rPr>
                        <w:rStyle w:val="Hyperlink"/>
                        <w:rFonts w:ascii="Montserrat" w:hAnsi="Montserrat" w:cs="Arial"/>
                        <w:color w:val="57A607"/>
                        <w:position w:val="17"/>
                        <w:sz w:val="24"/>
                        <w:szCs w:val="24"/>
                      </w:rPr>
                      <w:t>SNOWFLAKE cloud platform</w:t>
                    </w:r>
                  </w:hyperlink>
                  <w:r>
                    <w:rPr>
                      <w:rStyle w:val="font-montserrat"/>
                      <w:rFonts w:ascii="Montserrat" w:hAnsi="Montserrat" w:cs="Arial"/>
                      <w:color w:val="717A8A"/>
                      <w:position w:val="17"/>
                      <w:sz w:val="24"/>
                      <w:szCs w:val="24"/>
                    </w:rPr>
                    <w:t xml:space="preserve"> and will become the data repository for all future </w:t>
                  </w:r>
                  <w:proofErr w:type="spellStart"/>
                  <w:r>
                    <w:rPr>
                      <w:rStyle w:val="font-montserrat"/>
                      <w:rFonts w:ascii="Montserrat" w:hAnsi="Montserrat" w:cs="Arial"/>
                      <w:color w:val="717A8A"/>
                      <w:position w:val="17"/>
                      <w:sz w:val="24"/>
                      <w:szCs w:val="24"/>
                    </w:rPr>
                    <w:t>CanShare</w:t>
                  </w:r>
                  <w:proofErr w:type="spellEnd"/>
                  <w:r>
                    <w:rPr>
                      <w:rStyle w:val="font-montserrat"/>
                      <w:rFonts w:ascii="Montserrat" w:hAnsi="Montserrat" w:cs="Arial"/>
                      <w:color w:val="717A8A"/>
                      <w:position w:val="17"/>
                      <w:sz w:val="24"/>
                      <w:szCs w:val="24"/>
                    </w:rPr>
                    <w:t xml:space="preserve"> analytics across DMR projects.  </w:t>
                  </w:r>
                </w:p>
                <w:p w14:paraId="4FB79755"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Recent work on ACT-NOW prototype analytics has focused on reconciling data collected from oncology e-prescribing systems with the Te </w:t>
                  </w:r>
                  <w:proofErr w:type="spellStart"/>
                  <w:r>
                    <w:rPr>
                      <w:rStyle w:val="font-montserrat"/>
                      <w:rFonts w:ascii="Montserrat" w:hAnsi="Montserrat" w:cs="Arial"/>
                      <w:color w:val="717A8A"/>
                      <w:position w:val="17"/>
                      <w:sz w:val="24"/>
                      <w:szCs w:val="24"/>
                    </w:rPr>
                    <w:t>Whatu</w:t>
                  </w:r>
                  <w:proofErr w:type="spellEnd"/>
                  <w:r>
                    <w:rPr>
                      <w:rStyle w:val="font-montserrat"/>
                      <w:rFonts w:ascii="Montserrat" w:hAnsi="Montserrat" w:cs="Arial"/>
                      <w:color w:val="717A8A"/>
                      <w:position w:val="17"/>
                      <w:sz w:val="24"/>
                      <w:szCs w:val="24"/>
                    </w:rPr>
                    <w:t xml:space="preserve"> Ora Pharmaceutical claims database to help validate the ACT-NOW data and identify and fill gaps in data coverage. </w:t>
                  </w:r>
                </w:p>
                <w:p w14:paraId="5135819A"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If you would like more information on ACT-NOW, contact Alex Dunn </w:t>
                  </w:r>
                  <w:hyperlink r:id="rId19" w:history="1">
                    <w:r>
                      <w:rPr>
                        <w:rStyle w:val="Hyperlink"/>
                        <w:rFonts w:ascii="Montserrat" w:hAnsi="Montserrat" w:cs="Arial"/>
                        <w:color w:val="57A607"/>
                        <w:position w:val="17"/>
                        <w:sz w:val="24"/>
                        <w:szCs w:val="24"/>
                      </w:rPr>
                      <w:t>Alexander.Dunn@Teaho.govt.nz</w:t>
                    </w:r>
                  </w:hyperlink>
                  <w:r>
                    <w:rPr>
                      <w:rStyle w:val="font-montserrat"/>
                      <w:rFonts w:ascii="Montserrat" w:hAnsi="Montserrat" w:cs="Arial"/>
                      <w:color w:val="717A8A"/>
                      <w:position w:val="17"/>
                      <w:sz w:val="24"/>
                      <w:szCs w:val="24"/>
                    </w:rPr>
                    <w:t> or visit the website for more details </w:t>
                  </w:r>
                  <w:hyperlink r:id="rId20" w:history="1">
                    <w:r>
                      <w:rPr>
                        <w:rStyle w:val="Hyperlink"/>
                        <w:rFonts w:ascii="Montserrat" w:hAnsi="Montserrat" w:cs="Arial"/>
                        <w:color w:val="57A607"/>
                        <w:position w:val="17"/>
                        <w:sz w:val="24"/>
                        <w:szCs w:val="24"/>
                      </w:rPr>
                      <w:t>Te Aho o Te Kahu - ACT-NOW Programme</w:t>
                    </w:r>
                  </w:hyperlink>
                  <w:r>
                    <w:rPr>
                      <w:rStyle w:val="font-montserrat"/>
                      <w:rFonts w:ascii="Montserrat" w:hAnsi="Montserrat" w:cs="Arial"/>
                      <w:color w:val="717A8A"/>
                      <w:position w:val="17"/>
                      <w:sz w:val="24"/>
                      <w:szCs w:val="24"/>
                    </w:rPr>
                    <w:t>. </w:t>
                  </w:r>
                </w:p>
              </w:tc>
            </w:tr>
          </w:tbl>
          <w:p w14:paraId="50575F2A" w14:textId="77777777" w:rsidR="004305BD" w:rsidRDefault="004305BD">
            <w:pPr>
              <w:spacing w:line="300" w:lineRule="exact"/>
              <w:rPr>
                <w:rFonts w:eastAsia="Times New Roman"/>
                <w:sz w:val="30"/>
                <w:szCs w:val="30"/>
              </w:rPr>
            </w:pPr>
            <w:r>
              <w:rPr>
                <w:rFonts w:eastAsia="Times New Roman"/>
                <w:sz w:val="30"/>
                <w:szCs w:val="30"/>
              </w:rPr>
              <w:t> </w:t>
            </w:r>
          </w:p>
          <w:tbl>
            <w:tblPr>
              <w:tblW w:w="0" w:type="auto"/>
              <w:jc w:val="center"/>
              <w:tblCellMar>
                <w:left w:w="0" w:type="dxa"/>
                <w:right w:w="0" w:type="dxa"/>
              </w:tblCellMar>
              <w:tblLook w:val="04A0" w:firstRow="1" w:lastRow="0" w:firstColumn="1" w:lastColumn="0" w:noHBand="0" w:noVBand="1"/>
            </w:tblPr>
            <w:tblGrid>
              <w:gridCol w:w="9000"/>
            </w:tblGrid>
            <w:tr w:rsidR="004305BD" w14:paraId="5807E7CD" w14:textId="77777777">
              <w:trPr>
                <w:jc w:val="center"/>
              </w:trPr>
              <w:tc>
                <w:tcPr>
                  <w:tcW w:w="9000" w:type="dxa"/>
                  <w:shd w:val="clear" w:color="auto" w:fill="FFFFFF"/>
                  <w:vAlign w:val="center"/>
                  <w:hideMark/>
                </w:tcPr>
                <w:p w14:paraId="42EA9F2E" w14:textId="77777777" w:rsidR="004305BD" w:rsidRDefault="004305BD">
                  <w:pPr>
                    <w:spacing w:line="120" w:lineRule="exact"/>
                    <w:rPr>
                      <w:rFonts w:ascii="Arial" w:eastAsia="Times New Roman" w:hAnsi="Arial" w:cs="Arial"/>
                      <w:color w:val="717A8A"/>
                      <w:sz w:val="2"/>
                      <w:szCs w:val="2"/>
                    </w:rPr>
                  </w:pPr>
                  <w:r>
                    <w:rPr>
                      <w:rFonts w:ascii="Arial" w:eastAsia="Times New Roman" w:hAnsi="Arial" w:cs="Arial"/>
                      <w:color w:val="717A8A"/>
                      <w:sz w:val="2"/>
                      <w:szCs w:val="2"/>
                    </w:rPr>
                    <w:t> </w:t>
                  </w:r>
                </w:p>
                <w:p w14:paraId="3DE98825" w14:textId="77777777" w:rsidR="004305BD" w:rsidRDefault="004305BD">
                  <w:pPr>
                    <w:spacing w:after="240" w:line="510" w:lineRule="exact"/>
                    <w:textAlignment w:val="center"/>
                    <w:outlineLvl w:val="2"/>
                    <w:rPr>
                      <w:rFonts w:ascii="Montserrat" w:eastAsia="Times New Roman" w:hAnsi="Montserrat" w:cs="Arial"/>
                      <w:color w:val="3D3B3D"/>
                      <w:position w:val="17"/>
                      <w:sz w:val="39"/>
                      <w:szCs w:val="39"/>
                    </w:rPr>
                  </w:pPr>
                  <w:r>
                    <w:rPr>
                      <w:rStyle w:val="font-montserrat"/>
                      <w:rFonts w:ascii="Montserrat" w:eastAsia="Times New Roman" w:hAnsi="Montserrat" w:cs="Arial"/>
                      <w:color w:val="3D3B3D"/>
                      <w:position w:val="17"/>
                      <w:sz w:val="39"/>
                      <w:szCs w:val="39"/>
                    </w:rPr>
                    <w:t>Analytics Team</w:t>
                  </w:r>
                </w:p>
                <w:p w14:paraId="4318C484" w14:textId="77777777" w:rsidR="004305BD" w:rsidRDefault="004305BD">
                  <w:pPr>
                    <w:pStyle w:val="NormalWeb"/>
                    <w:spacing w:before="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The analytical team is currently working on or providing support to:</w:t>
                  </w:r>
                </w:p>
                <w:p w14:paraId="2837C3F6" w14:textId="77777777" w:rsidR="004305BD" w:rsidRDefault="004305BD" w:rsidP="009E2228">
                  <w:pPr>
                    <w:pStyle w:val="NormalWeb"/>
                    <w:numPr>
                      <w:ilvl w:val="0"/>
                      <w:numId w:val="5"/>
                    </w:numPr>
                    <w:spacing w:before="0" w:beforeAutospacing="0" w:after="0" w:afterAutospacing="0" w:line="360" w:lineRule="atLeast"/>
                    <w:ind w:left="1080"/>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Radiation Oncology Collection (ROC) dashboard enhancement  </w:t>
                  </w:r>
                </w:p>
                <w:p w14:paraId="7E657D32" w14:textId="77777777" w:rsidR="004305BD" w:rsidRDefault="004305BD" w:rsidP="009E2228">
                  <w:pPr>
                    <w:pStyle w:val="NormalWeb"/>
                    <w:numPr>
                      <w:ilvl w:val="0"/>
                      <w:numId w:val="5"/>
                    </w:numPr>
                    <w:spacing w:before="0" w:beforeAutospacing="0" w:after="0" w:afterAutospacing="0" w:line="360" w:lineRule="atLeast"/>
                    <w:ind w:left="1080"/>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Cancer in Numbers website enhancement  </w:t>
                  </w:r>
                </w:p>
                <w:p w14:paraId="1680D649" w14:textId="77777777" w:rsidR="004305BD" w:rsidRDefault="004305BD" w:rsidP="009E2228">
                  <w:pPr>
                    <w:pStyle w:val="NormalWeb"/>
                    <w:numPr>
                      <w:ilvl w:val="0"/>
                      <w:numId w:val="5"/>
                    </w:numPr>
                    <w:spacing w:before="0" w:beforeAutospacing="0" w:after="0" w:afterAutospacing="0" w:line="360" w:lineRule="atLeast"/>
                    <w:ind w:left="1080"/>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COVID and Cancer service report for the period ending September 2022  </w:t>
                  </w:r>
                </w:p>
                <w:p w14:paraId="67A97061" w14:textId="77777777" w:rsidR="004305BD" w:rsidRDefault="004305BD" w:rsidP="009E2228">
                  <w:pPr>
                    <w:pStyle w:val="NormalWeb"/>
                    <w:numPr>
                      <w:ilvl w:val="0"/>
                      <w:numId w:val="5"/>
                    </w:numPr>
                    <w:spacing w:before="0" w:beforeAutospacing="0" w:after="0" w:afterAutospacing="0" w:line="360" w:lineRule="atLeast"/>
                    <w:ind w:left="1080"/>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Cancer Psychosocial Support Services Initiative (CPSSI) dashboard development </w:t>
                  </w:r>
                </w:p>
                <w:p w14:paraId="6A492C7A" w14:textId="77777777" w:rsidR="004305BD" w:rsidRDefault="004305BD" w:rsidP="009E2228">
                  <w:pPr>
                    <w:pStyle w:val="NormalWeb"/>
                    <w:numPr>
                      <w:ilvl w:val="0"/>
                      <w:numId w:val="5"/>
                    </w:numPr>
                    <w:spacing w:before="0" w:beforeAutospacing="0" w:after="0" w:afterAutospacing="0" w:line="360" w:lineRule="atLeast"/>
                    <w:ind w:left="1080"/>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Pancreatic Quality Performance Indictor (QPIs) analysis and report.</w:t>
                  </w:r>
                </w:p>
                <w:p w14:paraId="143C2C19"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ROC remains a heavily utilised dataset across the sector and by Te Aho o Te Kahu. The </w:t>
                  </w:r>
                  <w:hyperlink r:id="rId21" w:history="1">
                    <w:r>
                      <w:rPr>
                        <w:rStyle w:val="Hyperlink"/>
                        <w:rFonts w:ascii="Montserrat" w:hAnsi="Montserrat" w:cs="Arial"/>
                        <w:color w:val="57A607"/>
                        <w:position w:val="17"/>
                        <w:sz w:val="24"/>
                        <w:szCs w:val="24"/>
                      </w:rPr>
                      <w:t>current ROC dashboard</w:t>
                    </w:r>
                  </w:hyperlink>
                  <w:r>
                    <w:rPr>
                      <w:rStyle w:val="font-montserrat"/>
                      <w:rFonts w:ascii="Montserrat" w:hAnsi="Montserrat" w:cs="Arial"/>
                      <w:color w:val="717A8A"/>
                      <w:position w:val="17"/>
                      <w:sz w:val="24"/>
                      <w:szCs w:val="24"/>
                    </w:rPr>
                    <w:t xml:space="preserve"> was developed over two years ago to provide information to those involved with service provision about patients accessing radiation therapy and how treatment protocols differ by treatment centre.  </w:t>
                  </w:r>
                </w:p>
                <w:p w14:paraId="63748483"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ROC data is currently being used to support workforce and LINAC capacity planning as part of our Cancer Services Planning (CSP) programme, as well as tracking the uptake of new treatment techniques and regimens like SABR and extreme hypofractionation.  </w:t>
                  </w:r>
                </w:p>
                <w:p w14:paraId="080C6FBB"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ROC relies heavily on the efforts of the ROC ‘data managers’ – people in each of the radiation centres who submit the ROC data and help address any gaps or data quality issues. Most data managers are radiation therapists or system administrators taking on this role on top of their regular workload each quarter. We recognise and appreciate the critical, behind-the-scenes role that the ROC data managers play in the ongoing success of ROC. </w:t>
                  </w:r>
                </w:p>
                <w:p w14:paraId="6027201D"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There will be a more detailed introduction to the new and improved ROC dashboard in the next update.</w:t>
                  </w:r>
                </w:p>
              </w:tc>
            </w:tr>
          </w:tbl>
          <w:p w14:paraId="4254998F" w14:textId="77777777" w:rsidR="004305BD" w:rsidRDefault="004305BD">
            <w:pPr>
              <w:spacing w:line="300" w:lineRule="exact"/>
              <w:rPr>
                <w:rFonts w:eastAsia="Times New Roman"/>
                <w:sz w:val="30"/>
                <w:szCs w:val="30"/>
              </w:rPr>
            </w:pPr>
            <w:r>
              <w:rPr>
                <w:rFonts w:eastAsia="Times New Roman"/>
                <w:sz w:val="30"/>
                <w:szCs w:val="30"/>
              </w:rPr>
              <w:t> </w:t>
            </w:r>
          </w:p>
          <w:tbl>
            <w:tblPr>
              <w:tblW w:w="0" w:type="auto"/>
              <w:jc w:val="center"/>
              <w:tblCellMar>
                <w:left w:w="0" w:type="dxa"/>
                <w:right w:w="0" w:type="dxa"/>
              </w:tblCellMar>
              <w:tblLook w:val="04A0" w:firstRow="1" w:lastRow="0" w:firstColumn="1" w:lastColumn="0" w:noHBand="0" w:noVBand="1"/>
            </w:tblPr>
            <w:tblGrid>
              <w:gridCol w:w="9000"/>
            </w:tblGrid>
            <w:tr w:rsidR="004305BD" w14:paraId="108D3D43" w14:textId="77777777">
              <w:trPr>
                <w:jc w:val="center"/>
              </w:trPr>
              <w:tc>
                <w:tcPr>
                  <w:tcW w:w="9000" w:type="dxa"/>
                  <w:shd w:val="clear" w:color="auto" w:fill="FFFFFF"/>
                  <w:vAlign w:val="center"/>
                  <w:hideMark/>
                </w:tcPr>
                <w:p w14:paraId="4293E6FB" w14:textId="77777777" w:rsidR="004305BD" w:rsidRDefault="004305BD">
                  <w:pPr>
                    <w:spacing w:line="510" w:lineRule="exact"/>
                    <w:textAlignment w:val="center"/>
                    <w:outlineLvl w:val="2"/>
                    <w:rPr>
                      <w:rFonts w:ascii="Montserrat" w:eastAsia="Times New Roman" w:hAnsi="Montserrat" w:cs="Arial"/>
                      <w:color w:val="3D3B3D"/>
                      <w:position w:val="17"/>
                      <w:sz w:val="39"/>
                      <w:szCs w:val="39"/>
                    </w:rPr>
                  </w:pPr>
                  <w:r>
                    <w:rPr>
                      <w:rStyle w:val="Strong"/>
                      <w:rFonts w:ascii="Montserrat" w:eastAsia="Times New Roman" w:hAnsi="Montserrat" w:cs="Arial"/>
                      <w:color w:val="3D3B3D"/>
                      <w:position w:val="17"/>
                      <w:sz w:val="39"/>
                      <w:szCs w:val="39"/>
                    </w:rPr>
                    <w:t>PARTNER SPOTLIGHT </w:t>
                  </w:r>
                </w:p>
                <w:p w14:paraId="3F10F177" w14:textId="77777777" w:rsidR="004305BD" w:rsidRDefault="004305BD">
                  <w:pPr>
                    <w:spacing w:before="240" w:after="240" w:line="510" w:lineRule="exact"/>
                    <w:textAlignment w:val="center"/>
                    <w:outlineLvl w:val="2"/>
                    <w:rPr>
                      <w:rFonts w:ascii="Montserrat" w:eastAsia="Times New Roman" w:hAnsi="Montserrat" w:cs="Arial"/>
                      <w:color w:val="3D3B3D"/>
                      <w:position w:val="17"/>
                      <w:sz w:val="39"/>
                      <w:szCs w:val="39"/>
                    </w:rPr>
                  </w:pPr>
                  <w:proofErr w:type="spellStart"/>
                  <w:r>
                    <w:rPr>
                      <w:rStyle w:val="font-montserrat"/>
                      <w:rFonts w:ascii="Montserrat" w:eastAsia="Times New Roman" w:hAnsi="Montserrat" w:cs="Arial"/>
                      <w:color w:val="3D3B3D"/>
                      <w:position w:val="17"/>
                      <w:sz w:val="39"/>
                      <w:szCs w:val="39"/>
                    </w:rPr>
                    <w:t>Dr.</w:t>
                  </w:r>
                  <w:proofErr w:type="spellEnd"/>
                  <w:r>
                    <w:rPr>
                      <w:rStyle w:val="font-montserrat"/>
                      <w:rFonts w:ascii="Montserrat" w:eastAsia="Times New Roman" w:hAnsi="Montserrat" w:cs="Arial"/>
                      <w:color w:val="3D3B3D"/>
                      <w:position w:val="17"/>
                      <w:sz w:val="39"/>
                      <w:szCs w:val="39"/>
                    </w:rPr>
                    <w:t xml:space="preserve"> Chris Jackson</w:t>
                  </w:r>
                </w:p>
                <w:p w14:paraId="080C4A9C" w14:textId="1EF9D3DB" w:rsidR="004305BD" w:rsidRDefault="004305BD">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36591F58" wp14:editId="50B990F6">
                        <wp:extent cx="3823090" cy="282892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5578" cy="2830766"/>
                                </a:xfrm>
                                <a:prstGeom prst="rect">
                                  <a:avLst/>
                                </a:prstGeom>
                                <a:noFill/>
                                <a:ln>
                                  <a:noFill/>
                                </a:ln>
                              </pic:spPr>
                            </pic:pic>
                          </a:graphicData>
                        </a:graphic>
                      </wp:inline>
                    </w:drawing>
                  </w:r>
                </w:p>
                <w:p w14:paraId="5A96F71F" w14:textId="77777777" w:rsidR="004305BD" w:rsidRDefault="004305BD">
                  <w:pPr>
                    <w:pStyle w:val="NormalWeb"/>
                    <w:spacing w:before="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Dr Chris Jackson Chris Jackson is a medical oncologist at Te </w:t>
                  </w:r>
                  <w:proofErr w:type="spellStart"/>
                  <w:r>
                    <w:rPr>
                      <w:rStyle w:val="font-montserrat"/>
                      <w:rFonts w:ascii="Montserrat" w:hAnsi="Montserrat" w:cs="Arial"/>
                      <w:color w:val="717A8A"/>
                      <w:position w:val="17"/>
                      <w:sz w:val="24"/>
                      <w:szCs w:val="24"/>
                    </w:rPr>
                    <w:t>Whatu</w:t>
                  </w:r>
                  <w:proofErr w:type="spellEnd"/>
                  <w:r>
                    <w:rPr>
                      <w:rStyle w:val="font-montserrat"/>
                      <w:rFonts w:ascii="Montserrat" w:hAnsi="Montserrat" w:cs="Arial"/>
                      <w:color w:val="717A8A"/>
                      <w:position w:val="17"/>
                      <w:sz w:val="24"/>
                      <w:szCs w:val="24"/>
                    </w:rPr>
                    <w:t xml:space="preserve"> Ora – Southern and a senior lecturer at the University of Otago.  Until recently he was also the medical director of the Cancer Society, where he was a strong advocate for a national approach to cancer control and had a significant role in the establishment of Te Aho o Te Kahu. Chris is now on our Advisory Council and chairs the Clinical Assembly.  </w:t>
                  </w:r>
                </w:p>
                <w:p w14:paraId="6C933FCB"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Chris worked with the DMR team during COVID on the Cancer Agency COVID Agile Response Team (CACART) that worked to direct, collect, and analyse data relating to cancer registrations and cancer activity during the pandemic. CACART also worked with medical oncologists on planning for the possible scenario of an overwhelmed cancer system – a scenario which, fortunately, never eventuated. He says that our COVID reports had near real time availability of key metrics of cancer registrations, surgeries, radiation treatments, First Specialist Appointments, and chemotherapy deliveries, outstripping the speed of most other countries' data availability. He believes that this rapid data availability helped keep cancer services on track during COVID.  </w:t>
                  </w:r>
                </w:p>
                <w:p w14:paraId="68033F49"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His other key role with the DMR team is through the ACT-NOW project which he pitched to the Ministry of Health before Te Aho o Te Kahu was able to make it a reality. This is a national library of chemotherapy regimens (and other systemic anti-cancer therapies) which aims to build consensus and data availability about chemotherapy use and outcomes for patients treated for cancer.</w:t>
                  </w:r>
                </w:p>
                <w:p w14:paraId="5F9FCD20"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Alongside the radiation collection, we have the world’s most comprehensive cancer treatments resource, covering both public and private sectors. Chris says this collection has the potential to drive quality improvement, improve access to treatments, inform workforce planning and resource usage, monitor patient outcomes, and ensure equity of access to treatment, making it a jewel in the cancer-planning crown.  </w:t>
                  </w:r>
                </w:p>
              </w:tc>
            </w:tr>
          </w:tbl>
          <w:p w14:paraId="1573F7C1" w14:textId="79FB1118" w:rsidR="004305BD" w:rsidRDefault="004305BD">
            <w:pPr>
              <w:spacing w:line="300" w:lineRule="exact"/>
              <w:rPr>
                <w:rFonts w:eastAsia="Times New Roman"/>
                <w:sz w:val="30"/>
                <w:szCs w:val="30"/>
              </w:rPr>
            </w:pPr>
            <w:r>
              <w:rPr>
                <w:rFonts w:eastAsia="Times New Roman"/>
                <w:sz w:val="30"/>
                <w:szCs w:val="30"/>
              </w:rPr>
              <w:t> </w:t>
            </w:r>
          </w:p>
          <w:p w14:paraId="2FCBBCDB" w14:textId="3618F035" w:rsidR="004305BD" w:rsidRDefault="004305BD">
            <w:pPr>
              <w:spacing w:line="300" w:lineRule="exact"/>
              <w:rPr>
                <w:rFonts w:eastAsia="Times New Roman"/>
                <w:sz w:val="30"/>
                <w:szCs w:val="30"/>
              </w:rPr>
            </w:pPr>
          </w:p>
          <w:p w14:paraId="75C3E224" w14:textId="76C76474" w:rsidR="004305BD" w:rsidRDefault="004305BD">
            <w:pPr>
              <w:spacing w:line="300" w:lineRule="exact"/>
              <w:rPr>
                <w:rFonts w:eastAsia="Times New Roman"/>
                <w:sz w:val="30"/>
                <w:szCs w:val="30"/>
              </w:rPr>
            </w:pPr>
          </w:p>
          <w:p w14:paraId="5A65AD33" w14:textId="09B26F7F" w:rsidR="004305BD" w:rsidRDefault="004305BD">
            <w:pPr>
              <w:spacing w:line="300" w:lineRule="exact"/>
              <w:rPr>
                <w:rFonts w:eastAsia="Times New Roman"/>
                <w:sz w:val="30"/>
                <w:szCs w:val="30"/>
              </w:rPr>
            </w:pPr>
          </w:p>
          <w:p w14:paraId="1D6C192E" w14:textId="570EBC79" w:rsidR="004305BD" w:rsidRDefault="004305BD">
            <w:pPr>
              <w:spacing w:line="300" w:lineRule="exact"/>
              <w:rPr>
                <w:rFonts w:eastAsia="Times New Roman"/>
                <w:sz w:val="30"/>
                <w:szCs w:val="30"/>
              </w:rPr>
            </w:pPr>
          </w:p>
          <w:p w14:paraId="6B6141B9" w14:textId="0D235943" w:rsidR="004305BD" w:rsidRDefault="004305BD">
            <w:pPr>
              <w:spacing w:line="300" w:lineRule="exact"/>
              <w:rPr>
                <w:rFonts w:eastAsia="Times New Roman"/>
                <w:sz w:val="30"/>
                <w:szCs w:val="30"/>
              </w:rPr>
            </w:pPr>
          </w:p>
          <w:p w14:paraId="202406FB" w14:textId="212C8209" w:rsidR="004305BD" w:rsidRDefault="004305BD">
            <w:pPr>
              <w:spacing w:line="300" w:lineRule="exact"/>
              <w:rPr>
                <w:rFonts w:eastAsia="Times New Roman"/>
                <w:sz w:val="30"/>
                <w:szCs w:val="30"/>
              </w:rPr>
            </w:pPr>
          </w:p>
          <w:p w14:paraId="4385453F" w14:textId="77777777" w:rsidR="004305BD" w:rsidRDefault="004305BD">
            <w:pPr>
              <w:spacing w:line="300" w:lineRule="exact"/>
              <w:rPr>
                <w:rFonts w:eastAsia="Times New Roman"/>
                <w:sz w:val="30"/>
                <w:szCs w:val="30"/>
              </w:rPr>
            </w:pPr>
          </w:p>
          <w:tbl>
            <w:tblPr>
              <w:tblW w:w="0" w:type="auto"/>
              <w:jc w:val="center"/>
              <w:tblCellMar>
                <w:left w:w="0" w:type="dxa"/>
                <w:right w:w="0" w:type="dxa"/>
              </w:tblCellMar>
              <w:tblLook w:val="04A0" w:firstRow="1" w:lastRow="0" w:firstColumn="1" w:lastColumn="0" w:noHBand="0" w:noVBand="1"/>
            </w:tblPr>
            <w:tblGrid>
              <w:gridCol w:w="9000"/>
            </w:tblGrid>
            <w:tr w:rsidR="004305BD" w14:paraId="3187A42C" w14:textId="77777777">
              <w:trPr>
                <w:jc w:val="center"/>
              </w:trPr>
              <w:tc>
                <w:tcPr>
                  <w:tcW w:w="9000" w:type="dxa"/>
                  <w:shd w:val="clear" w:color="auto" w:fill="FFFFFF"/>
                  <w:vAlign w:val="center"/>
                  <w:hideMark/>
                </w:tcPr>
                <w:p w14:paraId="1CF4545F" w14:textId="77777777" w:rsidR="004305BD" w:rsidRDefault="004305BD">
                  <w:pPr>
                    <w:spacing w:line="510" w:lineRule="exact"/>
                    <w:textAlignment w:val="center"/>
                    <w:outlineLvl w:val="2"/>
                    <w:rPr>
                      <w:rFonts w:ascii="Montserrat" w:eastAsia="Times New Roman" w:hAnsi="Montserrat" w:cs="Arial"/>
                      <w:color w:val="3D3B3D"/>
                      <w:position w:val="17"/>
                      <w:sz w:val="39"/>
                      <w:szCs w:val="39"/>
                    </w:rPr>
                  </w:pPr>
                  <w:r>
                    <w:rPr>
                      <w:rStyle w:val="Strong"/>
                      <w:rFonts w:ascii="Montserrat" w:eastAsia="Times New Roman" w:hAnsi="Montserrat" w:cs="Arial"/>
                      <w:color w:val="3D3B3D"/>
                      <w:position w:val="17"/>
                      <w:sz w:val="39"/>
                      <w:szCs w:val="39"/>
                    </w:rPr>
                    <w:t>PARTNER SPOTLIGHT </w:t>
                  </w:r>
                </w:p>
                <w:p w14:paraId="64558F42" w14:textId="77777777" w:rsidR="004305BD" w:rsidRDefault="004305BD">
                  <w:pPr>
                    <w:spacing w:before="240" w:after="240" w:line="510" w:lineRule="exact"/>
                    <w:textAlignment w:val="center"/>
                    <w:outlineLvl w:val="2"/>
                    <w:rPr>
                      <w:rFonts w:ascii="Montserrat" w:eastAsia="Times New Roman" w:hAnsi="Montserrat" w:cs="Arial"/>
                      <w:color w:val="3D3B3D"/>
                      <w:position w:val="17"/>
                      <w:sz w:val="39"/>
                      <w:szCs w:val="39"/>
                    </w:rPr>
                  </w:pPr>
                  <w:proofErr w:type="spellStart"/>
                  <w:r>
                    <w:rPr>
                      <w:rStyle w:val="font-montserrat"/>
                      <w:rFonts w:ascii="Montserrat" w:eastAsia="Times New Roman" w:hAnsi="Montserrat" w:cs="Arial"/>
                      <w:color w:val="3D3B3D"/>
                      <w:position w:val="17"/>
                      <w:sz w:val="39"/>
                      <w:szCs w:val="39"/>
                    </w:rPr>
                    <w:t>Dr.</w:t>
                  </w:r>
                  <w:proofErr w:type="spellEnd"/>
                  <w:r>
                    <w:rPr>
                      <w:rStyle w:val="font-montserrat"/>
                      <w:rFonts w:ascii="Montserrat" w:eastAsia="Times New Roman" w:hAnsi="Montserrat" w:cs="Arial"/>
                      <w:color w:val="3D3B3D"/>
                      <w:position w:val="17"/>
                      <w:sz w:val="39"/>
                      <w:szCs w:val="39"/>
                    </w:rPr>
                    <w:t xml:space="preserve"> David Hay</w:t>
                  </w:r>
                </w:p>
                <w:p w14:paraId="4165D382" w14:textId="6AB865EA" w:rsidR="004305BD" w:rsidRDefault="004305BD">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14144A90" wp14:editId="087424E7">
                        <wp:extent cx="4514850" cy="2381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14850" cy="2381250"/>
                                </a:xfrm>
                                <a:prstGeom prst="rect">
                                  <a:avLst/>
                                </a:prstGeom>
                                <a:noFill/>
                                <a:ln>
                                  <a:noFill/>
                                </a:ln>
                              </pic:spPr>
                            </pic:pic>
                          </a:graphicData>
                        </a:graphic>
                      </wp:inline>
                    </w:drawing>
                  </w:r>
                </w:p>
                <w:p w14:paraId="24B4D607" w14:textId="77777777" w:rsidR="004305BD" w:rsidRDefault="004305BD">
                  <w:pPr>
                    <w:pStyle w:val="NormalWeb"/>
                    <w:spacing w:before="0" w:beforeAutospacing="0" w:after="0" w:afterAutospacing="0" w:line="360" w:lineRule="atLeast"/>
                    <w:textAlignment w:val="center"/>
                    <w:rPr>
                      <w:rStyle w:val="font-montserrat"/>
                      <w:rFonts w:ascii="Montserrat" w:hAnsi="Montserrat" w:cs="Arial"/>
                      <w:color w:val="717A8A"/>
                      <w:position w:val="17"/>
                      <w:sz w:val="24"/>
                      <w:szCs w:val="24"/>
                    </w:rPr>
                  </w:pPr>
                </w:p>
                <w:p w14:paraId="7A6FF7B7" w14:textId="6ABE61A5" w:rsidR="004305BD" w:rsidRDefault="004305BD">
                  <w:pPr>
                    <w:pStyle w:val="NormalWeb"/>
                    <w:spacing w:before="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David is working with the DMR Team to develop the FHIR design and architecture for the Structured Pathology and ACT-NOW workstreams of </w:t>
                  </w:r>
                  <w:proofErr w:type="spellStart"/>
                  <w:r>
                    <w:rPr>
                      <w:rStyle w:val="font-montserrat"/>
                      <w:rFonts w:ascii="Montserrat" w:hAnsi="Montserrat" w:cs="Arial"/>
                      <w:color w:val="717A8A"/>
                      <w:position w:val="17"/>
                      <w:sz w:val="24"/>
                      <w:szCs w:val="24"/>
                    </w:rPr>
                    <w:t>CanShare</w:t>
                  </w:r>
                  <w:proofErr w:type="spellEnd"/>
                  <w:r>
                    <w:rPr>
                      <w:rStyle w:val="font-montserrat"/>
                      <w:rFonts w:ascii="Montserrat" w:hAnsi="Montserrat" w:cs="Arial"/>
                      <w:color w:val="717A8A"/>
                      <w:position w:val="17"/>
                      <w:sz w:val="24"/>
                      <w:szCs w:val="24"/>
                    </w:rPr>
                    <w:t>, with the vision that all cancer related information can be stored in a FHIR-based repository and made available to clinicians, the patients, and for analytics.  </w:t>
                  </w:r>
                </w:p>
                <w:p w14:paraId="347F3159"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He is active in the national and international standards community as chair emeritus of </w:t>
                  </w:r>
                  <w:hyperlink r:id="rId24" w:history="1">
                    <w:r>
                      <w:rPr>
                        <w:rStyle w:val="Hyperlink"/>
                        <w:rFonts w:ascii="Montserrat" w:hAnsi="Montserrat" w:cs="Arial"/>
                        <w:color w:val="57A607"/>
                        <w:position w:val="17"/>
                        <w:sz w:val="24"/>
                        <w:szCs w:val="24"/>
                      </w:rPr>
                      <w:t>HL7 New Zealand</w:t>
                    </w:r>
                  </w:hyperlink>
                  <w:r>
                    <w:rPr>
                      <w:rStyle w:val="font-montserrat"/>
                      <w:rFonts w:ascii="Montserrat" w:hAnsi="Montserrat" w:cs="Arial"/>
                      <w:color w:val="717A8A"/>
                      <w:position w:val="17"/>
                      <w:sz w:val="24"/>
                      <w:szCs w:val="24"/>
                    </w:rPr>
                    <w:t xml:space="preserve"> and is a co-chair of the FHIR Management Group. He has served on </w:t>
                  </w:r>
                  <w:hyperlink r:id="rId25" w:history="1">
                    <w:r>
                      <w:rPr>
                        <w:rStyle w:val="Hyperlink"/>
                        <w:rFonts w:ascii="Montserrat" w:hAnsi="Montserrat" w:cs="Arial"/>
                        <w:color w:val="57A607"/>
                        <w:position w:val="17"/>
                        <w:sz w:val="24"/>
                        <w:szCs w:val="24"/>
                      </w:rPr>
                      <w:t>HISO (Health Information Standards Organisation)</w:t>
                    </w:r>
                  </w:hyperlink>
                  <w:r>
                    <w:rPr>
                      <w:rStyle w:val="font-montserrat"/>
                      <w:rFonts w:ascii="Montserrat" w:hAnsi="Montserrat" w:cs="Arial"/>
                      <w:color w:val="717A8A"/>
                      <w:position w:val="17"/>
                      <w:sz w:val="24"/>
                      <w:szCs w:val="24"/>
                    </w:rPr>
                    <w:t xml:space="preserve"> and currently edits the New Zealand Base FHIR implementation guide, being a consensus guide developed by HL7 New Zealand. </w:t>
                  </w:r>
                </w:p>
                <w:p w14:paraId="0E950591"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David graduated from medical school, then moved into the health IT sector. He developed practice management software for primary care, which was the first programme in New Zealand to receive electronic laboratory results. He then moved to work as a solutions architect for a services management organisation, producing several solutions: internal </w:t>
                  </w:r>
                  <w:proofErr w:type="spellStart"/>
                  <w:r>
                    <w:rPr>
                      <w:rStyle w:val="font-montserrat"/>
                      <w:rFonts w:ascii="Montserrat" w:hAnsi="Montserrat" w:cs="Arial"/>
                      <w:color w:val="717A8A"/>
                      <w:position w:val="17"/>
                      <w:sz w:val="24"/>
                      <w:szCs w:val="24"/>
                    </w:rPr>
                    <w:t>eReferrals</w:t>
                  </w:r>
                  <w:proofErr w:type="spellEnd"/>
                  <w:r>
                    <w:rPr>
                      <w:rStyle w:val="font-montserrat"/>
                      <w:rFonts w:ascii="Montserrat" w:hAnsi="Montserrat" w:cs="Arial"/>
                      <w:color w:val="717A8A"/>
                      <w:position w:val="17"/>
                      <w:sz w:val="24"/>
                      <w:szCs w:val="24"/>
                    </w:rPr>
                    <w:t xml:space="preserve"> application, community-based case management solution, plus an application to track and report on clinical tasks within the hospital.  </w:t>
                  </w:r>
                </w:p>
                <w:p w14:paraId="0603442D"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He also participated in several national programmes, including the medical records transfer project GP2GP and </w:t>
                  </w:r>
                  <w:proofErr w:type="spellStart"/>
                  <w:r>
                    <w:rPr>
                      <w:rStyle w:val="font-montserrat"/>
                      <w:rFonts w:ascii="Montserrat" w:hAnsi="Montserrat" w:cs="Arial"/>
                      <w:color w:val="717A8A"/>
                      <w:position w:val="17"/>
                      <w:sz w:val="24"/>
                      <w:szCs w:val="24"/>
                    </w:rPr>
                    <w:t>ePrescribing</w:t>
                  </w:r>
                  <w:proofErr w:type="spellEnd"/>
                  <w:r>
                    <w:rPr>
                      <w:rStyle w:val="font-montserrat"/>
                      <w:rFonts w:ascii="Montserrat" w:hAnsi="Montserrat" w:cs="Arial"/>
                      <w:color w:val="717A8A"/>
                      <w:position w:val="17"/>
                      <w:sz w:val="24"/>
                      <w:szCs w:val="24"/>
                    </w:rPr>
                    <w:t>. </w:t>
                  </w:r>
                </w:p>
                <w:p w14:paraId="465B242D"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He writes about FHIR on his blog </w:t>
                  </w:r>
                  <w:hyperlink r:id="rId26" w:history="1">
                    <w:r>
                      <w:rPr>
                        <w:rStyle w:val="Hyperlink"/>
                        <w:rFonts w:ascii="Montserrat" w:hAnsi="Montserrat" w:cs="Arial"/>
                        <w:color w:val="57A607"/>
                        <w:position w:val="17"/>
                        <w:sz w:val="24"/>
                        <w:szCs w:val="24"/>
                      </w:rPr>
                      <w:t>fhirblog.com</w:t>
                    </w:r>
                  </w:hyperlink>
                  <w:r>
                    <w:rPr>
                      <w:rStyle w:val="font-montserrat"/>
                      <w:rFonts w:ascii="Montserrat" w:hAnsi="Montserrat" w:cs="Arial"/>
                      <w:color w:val="717A8A"/>
                      <w:position w:val="17"/>
                      <w:sz w:val="24"/>
                      <w:szCs w:val="24"/>
                    </w:rPr>
                    <w:t xml:space="preserve"> and has developed a range of freely available tools widely used to educate developers and designers about FHIR -  </w:t>
                  </w:r>
                  <w:hyperlink r:id="rId27" w:history="1">
                    <w:proofErr w:type="spellStart"/>
                    <w:r>
                      <w:rPr>
                        <w:rStyle w:val="Hyperlink"/>
                        <w:rFonts w:ascii="Montserrat" w:hAnsi="Montserrat" w:cs="Arial"/>
                        <w:color w:val="57A607"/>
                        <w:position w:val="17"/>
                        <w:sz w:val="24"/>
                        <w:szCs w:val="24"/>
                      </w:rPr>
                      <w:t>clinFhir</w:t>
                    </w:r>
                    <w:proofErr w:type="spellEnd"/>
                  </w:hyperlink>
                  <w:r>
                    <w:rPr>
                      <w:rStyle w:val="font-montserrat"/>
                      <w:rFonts w:ascii="Montserrat" w:hAnsi="Montserrat" w:cs="Arial"/>
                      <w:color w:val="717A8A"/>
                      <w:position w:val="17"/>
                      <w:sz w:val="24"/>
                      <w:szCs w:val="24"/>
                    </w:rPr>
                    <w:t xml:space="preserve"> and </w:t>
                  </w:r>
                  <w:hyperlink r:id="rId28" w:history="1">
                    <w:proofErr w:type="spellStart"/>
                    <w:r>
                      <w:rPr>
                        <w:rStyle w:val="Hyperlink"/>
                        <w:rFonts w:ascii="Montserrat" w:hAnsi="Montserrat" w:cs="Arial"/>
                        <w:color w:val="57A607"/>
                        <w:position w:val="17"/>
                        <w:sz w:val="24"/>
                        <w:szCs w:val="24"/>
                      </w:rPr>
                      <w:t>connectathon</w:t>
                    </w:r>
                    <w:proofErr w:type="spellEnd"/>
                    <w:r>
                      <w:rPr>
                        <w:rStyle w:val="Hyperlink"/>
                        <w:rFonts w:ascii="Montserrat" w:hAnsi="Montserrat" w:cs="Arial"/>
                        <w:color w:val="57A607"/>
                        <w:position w:val="17"/>
                        <w:sz w:val="24"/>
                        <w:szCs w:val="24"/>
                      </w:rPr>
                      <w:t xml:space="preserve"> manager</w:t>
                    </w:r>
                  </w:hyperlink>
                  <w:r>
                    <w:rPr>
                      <w:rStyle w:val="font-montserrat"/>
                      <w:rFonts w:ascii="Montserrat" w:hAnsi="Montserrat" w:cs="Arial"/>
                      <w:color w:val="717A8A"/>
                      <w:position w:val="17"/>
                      <w:sz w:val="24"/>
                      <w:szCs w:val="24"/>
                    </w:rPr>
                    <w:t xml:space="preserve"> which are supported by </w:t>
                  </w:r>
                  <w:hyperlink r:id="rId29" w:history="1">
                    <w:proofErr w:type="spellStart"/>
                    <w:r>
                      <w:rPr>
                        <w:rStyle w:val="Hyperlink"/>
                        <w:rFonts w:ascii="Montserrat" w:hAnsi="Montserrat" w:cs="Arial"/>
                        <w:color w:val="57A607"/>
                        <w:position w:val="17"/>
                        <w:sz w:val="24"/>
                        <w:szCs w:val="24"/>
                      </w:rPr>
                      <w:t>InterSystems</w:t>
                    </w:r>
                    <w:proofErr w:type="spellEnd"/>
                  </w:hyperlink>
                  <w:r>
                    <w:rPr>
                      <w:rStyle w:val="font-montserrat"/>
                      <w:rFonts w:ascii="Montserrat" w:hAnsi="Montserrat" w:cs="Arial"/>
                      <w:color w:val="717A8A"/>
                      <w:position w:val="17"/>
                      <w:sz w:val="24"/>
                      <w:szCs w:val="24"/>
                    </w:rPr>
                    <w:t xml:space="preserve">. David has spent many years professionally and personally designing, educating, and advising on health informatics. In recognition of this David was awarded the Excellence in Health Informatics award 2016 by </w:t>
                  </w:r>
                  <w:proofErr w:type="spellStart"/>
                  <w:r>
                    <w:rPr>
                      <w:rStyle w:val="font-montserrat"/>
                      <w:rFonts w:ascii="Montserrat" w:hAnsi="Montserrat" w:cs="Arial"/>
                      <w:color w:val="717A8A"/>
                      <w:position w:val="17"/>
                      <w:sz w:val="24"/>
                      <w:szCs w:val="24"/>
                    </w:rPr>
                    <w:t>ITx</w:t>
                  </w:r>
                  <w:proofErr w:type="spellEnd"/>
                  <w:r>
                    <w:rPr>
                      <w:rStyle w:val="font-montserrat"/>
                      <w:rFonts w:ascii="Montserrat" w:hAnsi="Montserrat" w:cs="Arial"/>
                      <w:color w:val="717A8A"/>
                      <w:position w:val="17"/>
                      <w:sz w:val="24"/>
                      <w:szCs w:val="24"/>
                    </w:rPr>
                    <w:t xml:space="preserve"> New Zealand.  </w:t>
                  </w:r>
                </w:p>
              </w:tc>
            </w:tr>
          </w:tbl>
          <w:p w14:paraId="3BB1ECF3" w14:textId="77777777" w:rsidR="004305BD" w:rsidRDefault="004305BD">
            <w:pPr>
              <w:spacing w:line="300" w:lineRule="exact"/>
              <w:rPr>
                <w:rFonts w:eastAsia="Times New Roman"/>
                <w:sz w:val="30"/>
                <w:szCs w:val="30"/>
              </w:rPr>
            </w:pPr>
            <w:r>
              <w:rPr>
                <w:rFonts w:eastAsia="Times New Roman"/>
                <w:sz w:val="30"/>
                <w:szCs w:val="30"/>
              </w:rPr>
              <w:t> </w:t>
            </w:r>
          </w:p>
          <w:tbl>
            <w:tblPr>
              <w:tblW w:w="0" w:type="auto"/>
              <w:jc w:val="center"/>
              <w:tblCellMar>
                <w:left w:w="0" w:type="dxa"/>
                <w:right w:w="0" w:type="dxa"/>
              </w:tblCellMar>
              <w:tblLook w:val="04A0" w:firstRow="1" w:lastRow="0" w:firstColumn="1" w:lastColumn="0" w:noHBand="0" w:noVBand="1"/>
            </w:tblPr>
            <w:tblGrid>
              <w:gridCol w:w="9000"/>
            </w:tblGrid>
            <w:tr w:rsidR="004305BD" w14:paraId="7FEEBCC6" w14:textId="77777777">
              <w:trPr>
                <w:jc w:val="center"/>
              </w:trPr>
              <w:tc>
                <w:tcPr>
                  <w:tcW w:w="9000" w:type="dxa"/>
                  <w:shd w:val="clear" w:color="auto" w:fill="FFFFFF"/>
                  <w:vAlign w:val="center"/>
                  <w:hideMark/>
                </w:tcPr>
                <w:p w14:paraId="33DBEC43" w14:textId="77777777" w:rsidR="004305BD" w:rsidRDefault="004305BD">
                  <w:pPr>
                    <w:spacing w:line="480" w:lineRule="exact"/>
                    <w:textAlignment w:val="center"/>
                    <w:outlineLvl w:val="2"/>
                    <w:rPr>
                      <w:rFonts w:ascii="Montserrat" w:eastAsia="Times New Roman" w:hAnsi="Montserrat" w:cs="Arial"/>
                      <w:color w:val="3D3B3D"/>
                      <w:position w:val="17"/>
                      <w:sz w:val="36"/>
                      <w:szCs w:val="36"/>
                    </w:rPr>
                  </w:pPr>
                  <w:r>
                    <w:rPr>
                      <w:rStyle w:val="font-montserrat"/>
                      <w:rFonts w:ascii="Montserrat" w:eastAsia="Times New Roman" w:hAnsi="Montserrat" w:cs="Arial"/>
                      <w:color w:val="3D3B3D"/>
                      <w:position w:val="17"/>
                      <w:sz w:val="36"/>
                      <w:szCs w:val="36"/>
                    </w:rPr>
                    <w:t>Conferences:</w:t>
                  </w:r>
                </w:p>
                <w:p w14:paraId="170392D8" w14:textId="77777777" w:rsidR="004305BD" w:rsidRDefault="004305BD">
                  <w:pPr>
                    <w:pStyle w:val="NormalWeb"/>
                    <w:spacing w:before="24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John Fountain and John Manderson presented to the New Zealand Society of Oncology (Together Stronger) meeting, 22-25 September on 'Structured Pathology Reporting and Data Capture.  </w:t>
                  </w:r>
                </w:p>
                <w:p w14:paraId="7F252D66"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John Fountain attended the SNOMED CT Expo 2022, Lisbon, Portugal, 29 – 30 September. </w:t>
                  </w:r>
                </w:p>
                <w:p w14:paraId="504BA674"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He also presented to the Te Manawa Taki End to End Colorectal Cancer Pathway Symposium on 2 November on </w:t>
                  </w:r>
                  <w:proofErr w:type="spellStart"/>
                  <w:r>
                    <w:rPr>
                      <w:rStyle w:val="font-montserrat"/>
                      <w:rFonts w:ascii="Montserrat" w:hAnsi="Montserrat" w:cs="Arial"/>
                      <w:color w:val="717A8A"/>
                      <w:position w:val="17"/>
                      <w:sz w:val="24"/>
                      <w:szCs w:val="24"/>
                    </w:rPr>
                    <w:t>CanShare</w:t>
                  </w:r>
                  <w:proofErr w:type="spellEnd"/>
                  <w:r>
                    <w:rPr>
                      <w:rStyle w:val="font-montserrat"/>
                      <w:rFonts w:ascii="Montserrat" w:hAnsi="Montserrat" w:cs="Arial"/>
                      <w:color w:val="717A8A"/>
                      <w:position w:val="17"/>
                      <w:sz w:val="24"/>
                      <w:szCs w:val="24"/>
                    </w:rPr>
                    <w:t>. </w:t>
                  </w:r>
                </w:p>
                <w:p w14:paraId="013D887C"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And finally was John </w:t>
                  </w:r>
                  <w:proofErr w:type="gramStart"/>
                  <w:r>
                    <w:rPr>
                      <w:rStyle w:val="font-montserrat"/>
                      <w:rFonts w:ascii="Montserrat" w:hAnsi="Montserrat" w:cs="Arial"/>
                      <w:color w:val="717A8A"/>
                      <w:position w:val="17"/>
                      <w:sz w:val="24"/>
                      <w:szCs w:val="24"/>
                    </w:rPr>
                    <w:t>was</w:t>
                  </w:r>
                  <w:proofErr w:type="gramEnd"/>
                  <w:r>
                    <w:rPr>
                      <w:rStyle w:val="font-montserrat"/>
                      <w:rFonts w:ascii="Montserrat" w:hAnsi="Montserrat" w:cs="Arial"/>
                      <w:color w:val="717A8A"/>
                      <w:position w:val="17"/>
                      <w:sz w:val="24"/>
                      <w:szCs w:val="24"/>
                    </w:rPr>
                    <w:t xml:space="preserve"> part of the panel discussion about </w:t>
                  </w:r>
                  <w:proofErr w:type="spellStart"/>
                  <w:r>
                    <w:rPr>
                      <w:rStyle w:val="font-montserrat"/>
                      <w:rFonts w:ascii="Montserrat" w:hAnsi="Montserrat" w:cs="Arial"/>
                      <w:color w:val="717A8A"/>
                      <w:position w:val="17"/>
                      <w:sz w:val="24"/>
                      <w:szCs w:val="24"/>
                    </w:rPr>
                    <w:t>CanShare</w:t>
                  </w:r>
                  <w:proofErr w:type="spellEnd"/>
                  <w:r>
                    <w:rPr>
                      <w:rStyle w:val="font-montserrat"/>
                      <w:rFonts w:ascii="Montserrat" w:hAnsi="Montserrat" w:cs="Arial"/>
                      <w:color w:val="717A8A"/>
                      <w:position w:val="17"/>
                      <w:sz w:val="24"/>
                      <w:szCs w:val="24"/>
                    </w:rPr>
                    <w:t xml:space="preserve"> and the opportunities for cancer data at the Te Aka </w:t>
                  </w:r>
                  <w:proofErr w:type="spellStart"/>
                  <w:r>
                    <w:rPr>
                      <w:rStyle w:val="font-montserrat"/>
                      <w:rFonts w:ascii="Montserrat" w:hAnsi="Montserrat" w:cs="Arial"/>
                      <w:color w:val="717A8A"/>
                      <w:position w:val="17"/>
                      <w:sz w:val="24"/>
                      <w:szCs w:val="24"/>
                    </w:rPr>
                    <w:t>Mātauranga</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Matepukupuku</w:t>
                  </w:r>
                  <w:proofErr w:type="spellEnd"/>
                  <w:r>
                    <w:rPr>
                      <w:rStyle w:val="font-montserrat"/>
                      <w:rFonts w:ascii="Montserrat" w:hAnsi="Montserrat" w:cs="Arial"/>
                      <w:color w:val="717A8A"/>
                      <w:position w:val="17"/>
                      <w:sz w:val="24"/>
                      <w:szCs w:val="24"/>
                    </w:rPr>
                    <w:t xml:space="preserve"> - Centre for Cancer Research, University of Auckland, Inaugural Symposium on the 25 November.</w:t>
                  </w:r>
                </w:p>
                <w:p w14:paraId="30A9B671" w14:textId="77777777" w:rsidR="004305BD" w:rsidRDefault="004305BD">
                  <w:pPr>
                    <w:pStyle w:val="size-241"/>
                    <w:spacing w:before="300" w:beforeAutospacing="0" w:after="0" w:afterAutospacing="0" w:line="480" w:lineRule="exact"/>
                    <w:textAlignment w:val="center"/>
                    <w:rPr>
                      <w:rFonts w:ascii="Montserrat" w:hAnsi="Montserrat" w:cs="Arial"/>
                      <w:color w:val="717A8A"/>
                      <w:position w:val="17"/>
                    </w:rPr>
                  </w:pPr>
                  <w:r>
                    <w:rPr>
                      <w:rStyle w:val="font-montserrat"/>
                      <w:rFonts w:ascii="Montserrat" w:hAnsi="Montserrat" w:cs="Arial"/>
                      <w:color w:val="141312"/>
                      <w:position w:val="17"/>
                    </w:rPr>
                    <w:t>Publications:</w:t>
                  </w:r>
                </w:p>
                <w:p w14:paraId="79C8EC22"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Jason Gurney and Dr Elizabeth Dennett published </w:t>
                  </w:r>
                  <w:hyperlink r:id="rId30" w:history="1">
                    <w:r>
                      <w:rPr>
                        <w:rStyle w:val="Hyperlink"/>
                        <w:rFonts w:ascii="Montserrat" w:hAnsi="Montserrat" w:cs="Arial"/>
                        <w:color w:val="57A607"/>
                        <w:position w:val="17"/>
                        <w:sz w:val="24"/>
                        <w:szCs w:val="24"/>
                      </w:rPr>
                      <w:t>Understanding disparities in post-operative mortality for</w:t>
                    </w:r>
                    <w:r>
                      <w:rPr>
                        <w:rStyle w:val="Hyperlink"/>
                        <w:rFonts w:ascii="Montserrat" w:hAnsi="Montserrat" w:cs="Arial"/>
                        <w:color w:val="57A607"/>
                        <w:position w:val="17"/>
                        <w:sz w:val="24"/>
                        <w:szCs w:val="24"/>
                      </w:rPr>
                      <w:t xml:space="preserve"> </w:t>
                    </w:r>
                    <w:r>
                      <w:rPr>
                        <w:rStyle w:val="Hyperlink"/>
                        <w:rFonts w:ascii="Montserrat" w:hAnsi="Montserrat" w:cs="Arial"/>
                        <w:color w:val="57A607"/>
                        <w:position w:val="17"/>
                        <w:sz w:val="24"/>
                        <w:szCs w:val="24"/>
                      </w:rPr>
                      <w:t>Indigenous patients</w:t>
                    </w:r>
                  </w:hyperlink>
                  <w:r>
                    <w:rPr>
                      <w:rStyle w:val="font-montserrat"/>
                      <w:rFonts w:ascii="Montserrat" w:hAnsi="Montserrat" w:cs="Arial"/>
                      <w:color w:val="717A8A"/>
                      <w:position w:val="17"/>
                      <w:sz w:val="24"/>
                      <w:szCs w:val="24"/>
                    </w:rPr>
                    <w:t xml:space="preserve"> in the New Zealand Medical Association Journal.  </w:t>
                  </w:r>
                </w:p>
                <w:p w14:paraId="2C17CCF3"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Michelle Mako and Jason Gurney published the Lancet Oncology article </w:t>
                  </w:r>
                  <w:hyperlink r:id="rId31" w:history="1">
                    <w:r>
                      <w:rPr>
                        <w:rStyle w:val="Hyperlink"/>
                        <w:rFonts w:ascii="Montserrat" w:hAnsi="Montserrat" w:cs="Arial"/>
                        <w:color w:val="57A607"/>
                        <w:position w:val="17"/>
                        <w:sz w:val="24"/>
                        <w:szCs w:val="24"/>
                      </w:rPr>
                      <w:t>Te Aho o Te Kahu: weaving equity into national-l</w:t>
                    </w:r>
                    <w:r>
                      <w:rPr>
                        <w:rStyle w:val="Hyperlink"/>
                        <w:rFonts w:ascii="Montserrat" w:hAnsi="Montserrat" w:cs="Arial"/>
                        <w:color w:val="57A607"/>
                        <w:position w:val="17"/>
                        <w:sz w:val="24"/>
                        <w:szCs w:val="24"/>
                      </w:rPr>
                      <w:t>e</w:t>
                    </w:r>
                    <w:r>
                      <w:rPr>
                        <w:rStyle w:val="Hyperlink"/>
                        <w:rFonts w:ascii="Montserrat" w:hAnsi="Montserrat" w:cs="Arial"/>
                        <w:color w:val="57A607"/>
                        <w:position w:val="17"/>
                        <w:sz w:val="24"/>
                        <w:szCs w:val="24"/>
                      </w:rPr>
                      <w:t>vel cancer control. </w:t>
                    </w:r>
                  </w:hyperlink>
                </w:p>
                <w:p w14:paraId="281E5A6C" w14:textId="77777777" w:rsidR="004305BD" w:rsidRDefault="004305BD">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Health Informatics New Zealand (</w:t>
                  </w:r>
                  <w:proofErr w:type="spellStart"/>
                  <w:r>
                    <w:rPr>
                      <w:rStyle w:val="font-montserrat"/>
                      <w:rFonts w:ascii="Montserrat" w:hAnsi="Montserrat" w:cs="Arial"/>
                      <w:color w:val="717A8A"/>
                      <w:position w:val="17"/>
                      <w:sz w:val="24"/>
                      <w:szCs w:val="24"/>
                    </w:rPr>
                    <w:t>HiNZ</w:t>
                  </w:r>
                  <w:proofErr w:type="spellEnd"/>
                  <w:r>
                    <w:rPr>
                      <w:rStyle w:val="font-montserrat"/>
                      <w:rFonts w:ascii="Montserrat" w:hAnsi="Montserrat" w:cs="Arial"/>
                      <w:color w:val="717A8A"/>
                      <w:position w:val="17"/>
                      <w:sz w:val="24"/>
                      <w:szCs w:val="24"/>
                    </w:rPr>
                    <w:t xml:space="preserve">) featured </w:t>
                  </w:r>
                  <w:proofErr w:type="spellStart"/>
                  <w:r>
                    <w:rPr>
                      <w:rStyle w:val="font-montserrat"/>
                      <w:rFonts w:ascii="Montserrat" w:hAnsi="Montserrat" w:cs="Arial"/>
                      <w:color w:val="717A8A"/>
                      <w:position w:val="17"/>
                      <w:sz w:val="24"/>
                      <w:szCs w:val="24"/>
                    </w:rPr>
                    <w:t>CanShare</w:t>
                  </w:r>
                  <w:proofErr w:type="spellEnd"/>
                  <w:r>
                    <w:rPr>
                      <w:rStyle w:val="font-montserrat"/>
                      <w:rFonts w:ascii="Montserrat" w:hAnsi="Montserrat" w:cs="Arial"/>
                      <w:color w:val="717A8A"/>
                      <w:position w:val="17"/>
                      <w:sz w:val="24"/>
                      <w:szCs w:val="24"/>
                    </w:rPr>
                    <w:t xml:space="preserve"> work in their recent eHealth news. You can read the article here: </w:t>
                  </w:r>
                  <w:hyperlink r:id="rId32" w:history="1">
                    <w:r>
                      <w:rPr>
                        <w:rStyle w:val="Hyperlink"/>
                        <w:rFonts w:ascii="Montserrat" w:hAnsi="Montserrat" w:cs="Arial"/>
                        <w:color w:val="57A607"/>
                        <w:position w:val="17"/>
                        <w:sz w:val="24"/>
                        <w:szCs w:val="24"/>
                      </w:rPr>
                      <w:t>New d</w:t>
                    </w:r>
                    <w:r>
                      <w:rPr>
                        <w:rStyle w:val="Hyperlink"/>
                        <w:rFonts w:ascii="Montserrat" w:hAnsi="Montserrat" w:cs="Arial"/>
                        <w:color w:val="57A607"/>
                        <w:position w:val="17"/>
                        <w:sz w:val="24"/>
                        <w:szCs w:val="24"/>
                      </w:rPr>
                      <w:t>a</w:t>
                    </w:r>
                    <w:r>
                      <w:rPr>
                        <w:rStyle w:val="Hyperlink"/>
                        <w:rFonts w:ascii="Montserrat" w:hAnsi="Montserrat" w:cs="Arial"/>
                        <w:color w:val="57A607"/>
                        <w:position w:val="17"/>
                        <w:sz w:val="24"/>
                        <w:szCs w:val="24"/>
                      </w:rPr>
                      <w:t>ta platform to share cancer information - Health Informatics New Zealand (hinz.org.nz)</w:t>
                    </w:r>
                  </w:hyperlink>
                  <w:r>
                    <w:rPr>
                      <w:rStyle w:val="font-montserrat"/>
                      <w:rFonts w:ascii="Montserrat" w:hAnsi="Montserrat" w:cs="Arial"/>
                      <w:color w:val="717A8A"/>
                      <w:position w:val="17"/>
                      <w:sz w:val="24"/>
                      <w:szCs w:val="24"/>
                    </w:rPr>
                    <w:t>. </w:t>
                  </w:r>
                </w:p>
                <w:p w14:paraId="2F7FBA66" w14:textId="77777777" w:rsidR="004305BD" w:rsidRDefault="004305BD">
                  <w:pPr>
                    <w:pStyle w:val="NormalWeb"/>
                    <w:spacing w:before="300" w:beforeAutospacing="0" w:after="30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Alex Dunn, Jason Gurney and Shaun Costello were part of the team which published ‘</w:t>
                  </w:r>
                  <w:hyperlink r:id="rId33" w:history="1">
                    <w:r>
                      <w:rPr>
                        <w:rStyle w:val="Hyperlink"/>
                        <w:rFonts w:ascii="Montserrat" w:hAnsi="Montserrat" w:cs="Arial"/>
                        <w:color w:val="57A607"/>
                        <w:position w:val="17"/>
                        <w:sz w:val="24"/>
                        <w:szCs w:val="24"/>
                      </w:rPr>
                      <w:t>Driving quality improvement through better data: the story of New Zealand’s Radiation Oncology Collection’ and was published in Journal of Medical Imaging and Radiation Oncology (2022</w:t>
                    </w:r>
                  </w:hyperlink>
                  <w:r>
                    <w:rPr>
                      <w:rStyle w:val="font-montserrat"/>
                      <w:rFonts w:ascii="Montserrat" w:hAnsi="Montserrat" w:cs="Arial"/>
                      <w:color w:val="717A8A"/>
                      <w:position w:val="17"/>
                      <w:sz w:val="24"/>
                      <w:szCs w:val="24"/>
                    </w:rPr>
                    <w:t>).   </w:t>
                  </w:r>
                </w:p>
                <w:p w14:paraId="521EBABD" w14:textId="73AE7045" w:rsidR="004305BD" w:rsidRDefault="004305BD">
                  <w:pPr>
                    <w:spacing w:line="360" w:lineRule="atLeast"/>
                    <w:jc w:val="center"/>
                    <w:rPr>
                      <w:rFonts w:ascii="Arial" w:eastAsia="Times New Roman" w:hAnsi="Arial" w:cs="Arial"/>
                      <w:color w:val="717A8A"/>
                      <w:sz w:val="24"/>
                      <w:szCs w:val="24"/>
                    </w:rPr>
                  </w:pPr>
                  <w:r>
                    <w:rPr>
                      <w:rFonts w:ascii="Arial" w:eastAsia="Times New Roman" w:hAnsi="Arial" w:cs="Arial"/>
                      <w:noProof/>
                      <w:color w:val="57A607"/>
                      <w:sz w:val="24"/>
                      <w:szCs w:val="24"/>
                      <w:shd w:val="clear" w:color="auto" w:fill="57A607"/>
                    </w:rPr>
                    <w:drawing>
                      <wp:inline distT="0" distB="0" distL="0" distR="0" wp14:anchorId="697D36C0" wp14:editId="6442D9E7">
                        <wp:extent cx="304800" cy="304800"/>
                        <wp:effectExtent l="0" t="0" r="0" b="0"/>
                        <wp:docPr id="6" name="Picture 6" descr="Twitt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cs="Arial"/>
                      <w:noProof/>
                      <w:color w:val="57A607"/>
                      <w:sz w:val="24"/>
                      <w:szCs w:val="24"/>
                      <w:shd w:val="clear" w:color="auto" w:fill="57A607"/>
                    </w:rPr>
                    <w:drawing>
                      <wp:inline distT="0" distB="0" distL="0" distR="0" wp14:anchorId="03AA45AF" wp14:editId="11FFD869">
                        <wp:extent cx="304800" cy="304800"/>
                        <wp:effectExtent l="0" t="0" r="0" b="0"/>
                        <wp:docPr id="5" name="Picture 5" descr="Websit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cs="Arial"/>
                      <w:noProof/>
                      <w:color w:val="57A607"/>
                      <w:sz w:val="24"/>
                      <w:szCs w:val="24"/>
                      <w:shd w:val="clear" w:color="auto" w:fill="57A607"/>
                    </w:rPr>
                    <w:drawing>
                      <wp:inline distT="0" distB="0" distL="0" distR="0" wp14:anchorId="36400D90" wp14:editId="4372653F">
                        <wp:extent cx="304800" cy="304800"/>
                        <wp:effectExtent l="0" t="0" r="0" b="0"/>
                        <wp:docPr id="4" name="Picture 4" descr="LinkedI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edI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04CCE926" w14:textId="77777777" w:rsidR="004305BD" w:rsidRDefault="004305BD">
            <w:pPr>
              <w:spacing w:line="300" w:lineRule="exact"/>
              <w:rPr>
                <w:rFonts w:eastAsia="Times New Roman"/>
                <w:sz w:val="30"/>
                <w:szCs w:val="30"/>
              </w:rPr>
            </w:pPr>
            <w:r>
              <w:rPr>
                <w:rFonts w:eastAsia="Times New Roman"/>
                <w:sz w:val="30"/>
                <w:szCs w:val="30"/>
              </w:rPr>
              <w:t> </w:t>
            </w:r>
          </w:p>
          <w:tbl>
            <w:tblPr>
              <w:tblW w:w="0" w:type="auto"/>
              <w:jc w:val="center"/>
              <w:tblCellMar>
                <w:left w:w="0" w:type="dxa"/>
                <w:right w:w="0" w:type="dxa"/>
              </w:tblCellMar>
              <w:tblLook w:val="04A0" w:firstRow="1" w:lastRow="0" w:firstColumn="1" w:lastColumn="0" w:noHBand="0" w:noVBand="1"/>
            </w:tblPr>
            <w:tblGrid>
              <w:gridCol w:w="9000"/>
            </w:tblGrid>
            <w:tr w:rsidR="004305BD" w14:paraId="12529F4F" w14:textId="77777777">
              <w:trPr>
                <w:jc w:val="center"/>
              </w:trPr>
              <w:tc>
                <w:tcPr>
                  <w:tcW w:w="9000" w:type="dxa"/>
                  <w:shd w:val="clear" w:color="auto" w:fill="FFFFFF"/>
                  <w:vAlign w:val="center"/>
                  <w:hideMark/>
                </w:tcPr>
                <w:p w14:paraId="44191BF7" w14:textId="77777777" w:rsidR="004305BD" w:rsidRDefault="004305BD">
                  <w:pPr>
                    <w:pStyle w:val="NormalWeb"/>
                    <w:spacing w:before="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If you were forwarded this update and you would like to receive it directly - </w:t>
                  </w:r>
                  <w:hyperlink r:id="rId40" w:history="1">
                    <w:r>
                      <w:rPr>
                        <w:rStyle w:val="Hyperlink"/>
                        <w:rFonts w:ascii="Montserrat" w:hAnsi="Montserrat" w:cs="Arial"/>
                        <w:color w:val="57A607"/>
                        <w:position w:val="17"/>
                        <w:sz w:val="24"/>
                        <w:szCs w:val="24"/>
                      </w:rPr>
                      <w:t>sign up here</w:t>
                    </w:r>
                  </w:hyperlink>
                  <w:r>
                    <w:rPr>
                      <w:rStyle w:val="font-montserrat"/>
                      <w:rFonts w:ascii="Montserrat" w:hAnsi="Montserrat" w:cs="Arial"/>
                      <w:color w:val="717A8A"/>
                      <w:position w:val="17"/>
                      <w:sz w:val="24"/>
                      <w:szCs w:val="24"/>
                    </w:rPr>
                    <w:t>.</w:t>
                  </w:r>
                </w:p>
              </w:tc>
            </w:tr>
          </w:tbl>
          <w:p w14:paraId="06B6659B" w14:textId="77777777" w:rsidR="004305BD" w:rsidRDefault="004305BD">
            <w:pPr>
              <w:spacing w:line="300" w:lineRule="exact"/>
              <w:rPr>
                <w:rFonts w:eastAsia="Times New Roman"/>
                <w:sz w:val="30"/>
                <w:szCs w:val="30"/>
              </w:rPr>
            </w:pPr>
            <w:r>
              <w:rPr>
                <w:rFonts w:eastAsia="Times New Roman"/>
                <w:sz w:val="30"/>
                <w:szCs w:val="30"/>
              </w:rPr>
              <w:t> </w:t>
            </w:r>
          </w:p>
          <w:p w14:paraId="1E649EDD" w14:textId="77777777" w:rsidR="004305BD" w:rsidRDefault="004305BD">
            <w:pPr>
              <w:spacing w:line="60" w:lineRule="atLeast"/>
              <w:rPr>
                <w:rFonts w:eastAsia="Times New Roman"/>
                <w:sz w:val="6"/>
                <w:szCs w:val="6"/>
              </w:rPr>
            </w:pPr>
            <w:r>
              <w:rPr>
                <w:rFonts w:eastAsia="Times New Roman"/>
                <w:sz w:val="6"/>
                <w:szCs w:val="6"/>
              </w:rPr>
              <w:t> </w:t>
            </w:r>
          </w:p>
          <w:tbl>
            <w:tblPr>
              <w:tblW w:w="0" w:type="auto"/>
              <w:jc w:val="center"/>
              <w:tblCellMar>
                <w:left w:w="0" w:type="dxa"/>
                <w:right w:w="0" w:type="dxa"/>
              </w:tblCellMar>
              <w:tblLook w:val="04A0" w:firstRow="1" w:lastRow="0" w:firstColumn="1" w:lastColumn="0" w:noHBand="0" w:noVBand="1"/>
            </w:tblPr>
            <w:tblGrid>
              <w:gridCol w:w="8298"/>
            </w:tblGrid>
            <w:tr w:rsidR="004305BD" w14:paraId="39174995" w14:textId="77777777">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700"/>
                    <w:gridCol w:w="1173"/>
                    <w:gridCol w:w="4425"/>
                  </w:tblGrid>
                  <w:tr w:rsidR="004305BD" w14:paraId="6C81B2B7" w14:textId="77777777">
                    <w:tc>
                      <w:tcPr>
                        <w:tcW w:w="0" w:type="auto"/>
                        <w:hideMark/>
                      </w:tcPr>
                      <w:p w14:paraId="152F3691" w14:textId="0A0EE9FB" w:rsidR="004305BD" w:rsidRDefault="004305BD">
                        <w:pPr>
                          <w:spacing w:line="480" w:lineRule="atLeast"/>
                          <w:jc w:val="center"/>
                          <w:rPr>
                            <w:rFonts w:ascii="Roboto" w:eastAsia="Times New Roman" w:hAnsi="Roboto" w:cs="Arial"/>
                            <w:color w:val="7B663D"/>
                            <w:sz w:val="39"/>
                            <w:szCs w:val="39"/>
                          </w:rPr>
                        </w:pPr>
                        <w:r>
                          <w:rPr>
                            <w:rFonts w:ascii="Roboto" w:eastAsia="Times New Roman" w:hAnsi="Roboto" w:cs="Arial"/>
                            <w:noProof/>
                            <w:color w:val="7B663D"/>
                            <w:sz w:val="39"/>
                            <w:szCs w:val="39"/>
                          </w:rPr>
                          <w:drawing>
                            <wp:inline distT="0" distB="0" distL="0" distR="0" wp14:anchorId="52550FA0" wp14:editId="3AF2A774">
                              <wp:extent cx="1714500" cy="723900"/>
                              <wp:effectExtent l="0" t="0" r="0" b="0"/>
                              <wp:docPr id="3" name="Picture 3">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0" cy="723900"/>
                                      </a:xfrm>
                                      <a:prstGeom prst="rect">
                                        <a:avLst/>
                                      </a:prstGeom>
                                      <a:noFill/>
                                      <a:ln>
                                        <a:noFill/>
                                      </a:ln>
                                    </pic:spPr>
                                  </pic:pic>
                                </a:graphicData>
                              </a:graphic>
                            </wp:inline>
                          </w:drawing>
                        </w:r>
                      </w:p>
                    </w:tc>
                    <w:tc>
                      <w:tcPr>
                        <w:tcW w:w="0" w:type="auto"/>
                        <w:hideMark/>
                      </w:tcPr>
                      <w:p w14:paraId="4F4D0795" w14:textId="5A99031E" w:rsidR="004305BD" w:rsidRDefault="004305BD">
                        <w:pPr>
                          <w:spacing w:line="285" w:lineRule="atLeast"/>
                          <w:rPr>
                            <w:rFonts w:ascii="Arial" w:eastAsia="Times New Roman" w:hAnsi="Arial" w:cs="Arial"/>
                            <w:color w:val="717A8A"/>
                            <w:sz w:val="18"/>
                            <w:szCs w:val="18"/>
                          </w:rPr>
                        </w:pPr>
                        <w:hyperlink r:id="rId43" w:history="1">
                          <w:r>
                            <w:rPr>
                              <w:rStyle w:val="Hyperlink"/>
                              <w:rFonts w:ascii="Arial" w:eastAsia="Times New Roman" w:hAnsi="Arial" w:cs="Arial"/>
                              <w:b/>
                              <w:bCs/>
                              <w:color w:val="FFFFFF"/>
                              <w:sz w:val="17"/>
                              <w:szCs w:val="17"/>
                              <w:bdr w:val="single" w:sz="24" w:space="0" w:color="57A607" w:frame="1"/>
                              <w:shd w:val="clear" w:color="auto" w:fill="57A607"/>
                              <w:lang w:val="en"/>
                            </w:rPr>
                            <w:t> </w:t>
                          </w:r>
                          <w:r>
                            <w:rPr>
                              <w:rFonts w:ascii="Arial" w:eastAsia="Times New Roman" w:hAnsi="Arial" w:cs="Arial"/>
                              <w:b/>
                              <w:bCs/>
                              <w:noProof/>
                              <w:color w:val="FFFFFF"/>
                              <w:sz w:val="17"/>
                              <w:szCs w:val="17"/>
                              <w:bdr w:val="single" w:sz="24" w:space="0" w:color="57A607" w:frame="1"/>
                              <w:shd w:val="clear" w:color="auto" w:fill="57A607"/>
                              <w:lang w:val="en"/>
                            </w:rPr>
                            <w:drawing>
                              <wp:inline distT="0" distB="0" distL="0" distR="0" wp14:anchorId="24453D73" wp14:editId="7861CA40">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Arial" w:eastAsia="Times New Roman" w:hAnsi="Arial" w:cs="Arial"/>
                              <w:b/>
                              <w:bCs/>
                              <w:color w:val="FFFFFF"/>
                              <w:sz w:val="17"/>
                              <w:szCs w:val="17"/>
                              <w:bdr w:val="single" w:sz="24" w:space="0" w:color="57A607" w:frame="1"/>
                              <w:shd w:val="clear" w:color="auto" w:fill="57A607"/>
                              <w:lang w:val="en"/>
                            </w:rPr>
                            <w:t xml:space="preserve"> </w:t>
                          </w:r>
                          <w:r>
                            <w:rPr>
                              <w:rStyle w:val="Hyperlink"/>
                              <w:rFonts w:ascii="Arial" w:eastAsia="Times New Roman" w:hAnsi="Arial" w:cs="Arial"/>
                              <w:b/>
                              <w:bCs/>
                              <w:color w:val="FFFFFF"/>
                              <w:position w:val="5"/>
                              <w:sz w:val="17"/>
                              <w:szCs w:val="17"/>
                              <w:bdr w:val="single" w:sz="24" w:space="0" w:color="57A607" w:frame="1"/>
                              <w:shd w:val="clear" w:color="auto" w:fill="57A607"/>
                              <w:lang w:val="en"/>
                            </w:rPr>
                            <w:t>Forward </w:t>
                          </w:r>
                          <w:r>
                            <w:rPr>
                              <w:rStyle w:val="Hyperlink"/>
                              <w:rFonts w:ascii="Arial" w:eastAsia="Times New Roman" w:hAnsi="Arial" w:cs="Arial"/>
                              <w:b/>
                              <w:bCs/>
                              <w:color w:val="FFFFFF"/>
                              <w:sz w:val="17"/>
                              <w:szCs w:val="17"/>
                              <w:bdr w:val="single" w:sz="24" w:space="0" w:color="57A607" w:frame="1"/>
                              <w:shd w:val="clear" w:color="auto" w:fill="57A607"/>
                              <w:lang w:val="en"/>
                            </w:rPr>
                            <w:t xml:space="preserve"> </w:t>
                          </w:r>
                        </w:hyperlink>
                      </w:p>
                    </w:tc>
                    <w:tc>
                      <w:tcPr>
                        <w:tcW w:w="0" w:type="auto"/>
                        <w:hideMark/>
                      </w:tcPr>
                      <w:tbl>
                        <w:tblPr>
                          <w:tblW w:w="4425" w:type="dxa"/>
                          <w:tblCellMar>
                            <w:left w:w="0" w:type="dxa"/>
                            <w:right w:w="0" w:type="dxa"/>
                          </w:tblCellMar>
                          <w:tblLook w:val="04A0" w:firstRow="1" w:lastRow="0" w:firstColumn="1" w:lastColumn="0" w:noHBand="0" w:noVBand="1"/>
                        </w:tblPr>
                        <w:tblGrid>
                          <w:gridCol w:w="4425"/>
                        </w:tblGrid>
                        <w:tr w:rsidR="004305BD" w14:paraId="11C6014D" w14:textId="77777777" w:rsidTr="004305BD">
                          <w:tc>
                            <w:tcPr>
                              <w:tcW w:w="0" w:type="auto"/>
                              <w:vAlign w:val="center"/>
                            </w:tcPr>
                            <w:p w14:paraId="148A1EA3" w14:textId="7D367D89" w:rsidR="004305BD" w:rsidRDefault="004305BD">
                              <w:pPr>
                                <w:spacing w:line="285" w:lineRule="atLeast"/>
                                <w:rPr>
                                  <w:rFonts w:ascii="Arial" w:eastAsia="Times New Roman" w:hAnsi="Arial" w:cs="Arial"/>
                                  <w:color w:val="717A8A"/>
                                  <w:sz w:val="18"/>
                                  <w:szCs w:val="18"/>
                                </w:rPr>
                              </w:pPr>
                            </w:p>
                          </w:tc>
                        </w:tr>
                      </w:tbl>
                      <w:p w14:paraId="742C8F48" w14:textId="77777777" w:rsidR="004305BD" w:rsidRDefault="004305BD">
                        <w:pPr>
                          <w:rPr>
                            <w:rFonts w:ascii="Times New Roman" w:eastAsia="Times New Roman" w:hAnsi="Times New Roman" w:cs="Times New Roman"/>
                            <w:sz w:val="20"/>
                            <w:szCs w:val="20"/>
                          </w:rPr>
                        </w:pPr>
                      </w:p>
                    </w:tc>
                  </w:tr>
                </w:tbl>
                <w:p w14:paraId="46B21688" w14:textId="77777777" w:rsidR="004305BD" w:rsidRDefault="004305BD">
                  <w:pPr>
                    <w:rPr>
                      <w:rFonts w:ascii="Times New Roman" w:eastAsia="Times New Roman" w:hAnsi="Times New Roman" w:cs="Times New Roman"/>
                      <w:sz w:val="20"/>
                      <w:szCs w:val="20"/>
                    </w:rPr>
                  </w:pPr>
                </w:p>
              </w:tc>
            </w:tr>
          </w:tbl>
          <w:p w14:paraId="4D6E9B5D" w14:textId="77777777" w:rsidR="004305BD" w:rsidRDefault="004305BD">
            <w:pPr>
              <w:spacing w:line="600" w:lineRule="atLeast"/>
              <w:rPr>
                <w:rFonts w:eastAsia="Times New Roman"/>
                <w:sz w:val="60"/>
                <w:szCs w:val="60"/>
              </w:rPr>
            </w:pPr>
            <w:r>
              <w:rPr>
                <w:rFonts w:eastAsia="Times New Roman"/>
                <w:sz w:val="60"/>
                <w:szCs w:val="60"/>
              </w:rPr>
              <w:t> </w:t>
            </w:r>
          </w:p>
        </w:tc>
      </w:tr>
    </w:tbl>
    <w:p w14:paraId="0A43DE0A" w14:textId="34F59CF9" w:rsidR="004305BD" w:rsidRDefault="004305BD" w:rsidP="004305BD">
      <w:pPr>
        <w:rPr>
          <w:rFonts w:eastAsia="Times New Roman"/>
        </w:rPr>
      </w:pPr>
      <w:r>
        <w:rPr>
          <w:rFonts w:eastAsia="Times New Roman"/>
          <w:noProof/>
        </w:rPr>
        <mc:AlternateContent>
          <mc:Choice Requires="wps">
            <w:drawing>
              <wp:inline distT="0" distB="0" distL="0" distR="0" wp14:anchorId="0F5333D4" wp14:editId="555B91CF">
                <wp:extent cx="9525" cy="95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2F11C4" id="Rectangl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p w14:paraId="7FDBF870" w14:textId="77777777" w:rsidR="00435858" w:rsidRDefault="00435858"/>
    <w:sectPr w:rsidR="00435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925"/>
    <w:multiLevelType w:val="multilevel"/>
    <w:tmpl w:val="239A5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D1BB0"/>
    <w:multiLevelType w:val="multilevel"/>
    <w:tmpl w:val="E1AC13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24257"/>
    <w:multiLevelType w:val="multilevel"/>
    <w:tmpl w:val="9F786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C13464"/>
    <w:multiLevelType w:val="multilevel"/>
    <w:tmpl w:val="4366F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7E5731"/>
    <w:multiLevelType w:val="multilevel"/>
    <w:tmpl w:val="6966F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BD"/>
    <w:rsid w:val="004305BD"/>
    <w:rsid w:val="004358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9FF5"/>
  <w15:chartTrackingRefBased/>
  <w15:docId w15:val="{D92D26D7-85AD-42B4-99C4-02672A05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5BD"/>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5BD"/>
    <w:rPr>
      <w:color w:val="0000FF"/>
      <w:u w:val="single"/>
    </w:rPr>
  </w:style>
  <w:style w:type="paragraph" w:styleId="NormalWeb">
    <w:name w:val="Normal (Web)"/>
    <w:basedOn w:val="Normal"/>
    <w:uiPriority w:val="99"/>
    <w:semiHidden/>
    <w:unhideWhenUsed/>
    <w:rsid w:val="004305BD"/>
    <w:pPr>
      <w:spacing w:before="100" w:beforeAutospacing="1" w:after="100" w:afterAutospacing="1"/>
    </w:pPr>
  </w:style>
  <w:style w:type="paragraph" w:customStyle="1" w:styleId="size-241">
    <w:name w:val="size-241"/>
    <w:basedOn w:val="Normal"/>
    <w:uiPriority w:val="99"/>
    <w:semiHidden/>
    <w:rsid w:val="004305BD"/>
    <w:pPr>
      <w:spacing w:before="100" w:beforeAutospacing="1" w:after="100" w:afterAutospacing="1" w:line="480" w:lineRule="atLeast"/>
    </w:pPr>
    <w:rPr>
      <w:sz w:val="36"/>
      <w:szCs w:val="36"/>
    </w:rPr>
  </w:style>
  <w:style w:type="paragraph" w:customStyle="1" w:styleId="email-flexible-footeradditionalinfo--center">
    <w:name w:val="email-flexible-footer__additionalinfo--center"/>
    <w:basedOn w:val="Normal"/>
    <w:uiPriority w:val="99"/>
    <w:semiHidden/>
    <w:rsid w:val="004305BD"/>
    <w:pPr>
      <w:spacing w:before="100" w:beforeAutospacing="1" w:after="100" w:afterAutospacing="1"/>
    </w:pPr>
  </w:style>
  <w:style w:type="character" w:customStyle="1" w:styleId="font-montserrat">
    <w:name w:val="font-montserrat"/>
    <w:basedOn w:val="DefaultParagraphFont"/>
    <w:rsid w:val="004305BD"/>
  </w:style>
  <w:style w:type="character" w:styleId="Strong">
    <w:name w:val="Strong"/>
    <w:basedOn w:val="DefaultParagraphFont"/>
    <w:uiPriority w:val="22"/>
    <w:qFormat/>
    <w:rsid w:val="004305BD"/>
    <w:rPr>
      <w:b/>
      <w:bCs/>
    </w:rPr>
  </w:style>
  <w:style w:type="character" w:styleId="Emphasis">
    <w:name w:val="Emphasis"/>
    <w:basedOn w:val="DefaultParagraphFont"/>
    <w:uiPriority w:val="20"/>
    <w:qFormat/>
    <w:rsid w:val="004305BD"/>
    <w:rPr>
      <w:i/>
      <w:iCs/>
    </w:rPr>
  </w:style>
  <w:style w:type="character" w:styleId="FollowedHyperlink">
    <w:name w:val="FollowedHyperlink"/>
    <w:basedOn w:val="DefaultParagraphFont"/>
    <w:uiPriority w:val="99"/>
    <w:semiHidden/>
    <w:unhideWhenUsed/>
    <w:rsid w:val="004305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eahootekahu.cmail19.com/t/t-i-firjhll-l-h/" TargetMode="External"/><Relationship Id="rId18" Type="http://schemas.openxmlformats.org/officeDocument/2006/relationships/hyperlink" Target="https://teahootekahu.cmail19.com/t/t-i-firjhll-l-o/" TargetMode="External"/><Relationship Id="rId26" Type="http://schemas.openxmlformats.org/officeDocument/2006/relationships/hyperlink" Target="https://teahootekahu.cmail19.com/t/t-i-firjhll-l-a/" TargetMode="External"/><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teahootekahu.cmail19.com/t/t-i-firjhll-l-m/" TargetMode="External"/><Relationship Id="rId34" Type="http://schemas.openxmlformats.org/officeDocument/2006/relationships/hyperlink" Target="https://teahootekahu.cmail19.com/t/t-i-firjhll-l-yd/" TargetMode="External"/><Relationship Id="rId42" Type="http://schemas.openxmlformats.org/officeDocument/2006/relationships/image" Target="media/image10.png"/><Relationship Id="rId7" Type="http://schemas.openxmlformats.org/officeDocument/2006/relationships/hyperlink" Target="https://teahootekahu.cmail19.com/t/t-i-firjhll-l-j/" TargetMode="External"/><Relationship Id="rId12" Type="http://schemas.openxmlformats.org/officeDocument/2006/relationships/image" Target="media/image3.jpeg"/><Relationship Id="rId17" Type="http://schemas.openxmlformats.org/officeDocument/2006/relationships/hyperlink" Target="https://teahootekahu.cmail19.com/t/t-i-firjhll-l-u/" TargetMode="External"/><Relationship Id="rId25" Type="http://schemas.openxmlformats.org/officeDocument/2006/relationships/hyperlink" Target="https://teahootekahu.cmail19.com/t/t-i-firjhll-l-q/" TargetMode="External"/><Relationship Id="rId33" Type="http://schemas.openxmlformats.org/officeDocument/2006/relationships/hyperlink" Target="https://teahootekahu.cmail19.com/t/t-i-firjhll-l-w/" TargetMode="External"/><Relationship Id="rId38" Type="http://schemas.openxmlformats.org/officeDocument/2006/relationships/hyperlink" Target="https://teahootekahu.cmail19.com/t/t-i-firjhll-l-yk/"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teahootekahu.cmail19.com/t/t-i-firjhll-l-b/" TargetMode="External"/><Relationship Id="rId29" Type="http://schemas.openxmlformats.org/officeDocument/2006/relationships/hyperlink" Target="https://teahootekahu.cmail19.com/t/t-i-firjhll-l-v/" TargetMode="External"/><Relationship Id="rId41" Type="http://schemas.openxmlformats.org/officeDocument/2006/relationships/hyperlink" Target="https://teahootekahu.cmail19.com/t/t-i-firjhll-l-jl/" TargetMode="External"/><Relationship Id="rId1" Type="http://schemas.openxmlformats.org/officeDocument/2006/relationships/numbering" Target="numbering.xml"/><Relationship Id="rId6" Type="http://schemas.openxmlformats.org/officeDocument/2006/relationships/hyperlink" Target="https://teahootekahu.cmail19.com/t/t-i-firjhll-l-y/" TargetMode="External"/><Relationship Id="rId11" Type="http://schemas.openxmlformats.org/officeDocument/2006/relationships/hyperlink" Target="https://teahootekahu.cmail19.com/t/t-i-firjhll-l-d/" TargetMode="External"/><Relationship Id="rId24" Type="http://schemas.openxmlformats.org/officeDocument/2006/relationships/hyperlink" Target="https://teahootekahu.cmail19.com/t/t-i-firjhll-l-c/" TargetMode="External"/><Relationship Id="rId32" Type="http://schemas.openxmlformats.org/officeDocument/2006/relationships/hyperlink" Target="https://teahootekahu.cmail19.com/t/t-i-firjhll-l-g/" TargetMode="External"/><Relationship Id="rId37" Type="http://schemas.openxmlformats.org/officeDocument/2006/relationships/image" Target="media/image8.png"/><Relationship Id="rId40" Type="http://schemas.openxmlformats.org/officeDocument/2006/relationships/hyperlink" Target="https://teahootekahu.cmail19.com/t/t-i-firjhll-l-yu/"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john.manderson@Teaho.govt.nz" TargetMode="External"/><Relationship Id="rId23" Type="http://schemas.openxmlformats.org/officeDocument/2006/relationships/image" Target="media/image6.jpeg"/><Relationship Id="rId28" Type="http://schemas.openxmlformats.org/officeDocument/2006/relationships/hyperlink" Target="https://teahootekahu.cmail19.com/t/t-i-firjhll-l-z/" TargetMode="External"/><Relationship Id="rId36" Type="http://schemas.openxmlformats.org/officeDocument/2006/relationships/hyperlink" Target="https://teahootekahu.cmail19.com/t/t-i-firjhll-l-yh/" TargetMode="External"/><Relationship Id="rId10" Type="http://schemas.openxmlformats.org/officeDocument/2006/relationships/hyperlink" Target="https://teahootekahu.cmail19.com/t/t-i-firjhll-l-i/" TargetMode="External"/><Relationship Id="rId19" Type="http://schemas.openxmlformats.org/officeDocument/2006/relationships/hyperlink" Target="mailto:Alexander.Dunn@Teaho.govt.nz%7C" TargetMode="External"/><Relationship Id="rId31" Type="http://schemas.openxmlformats.org/officeDocument/2006/relationships/hyperlink" Target="https://teahootekahu.cmail19.com/t/t-i-firjhll-l-s/" TargetMode="External"/><Relationship Id="rId44"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teahootekahu.cmail19.com/t/t-i-firjhll-l-t/" TargetMode="External"/><Relationship Id="rId14" Type="http://schemas.openxmlformats.org/officeDocument/2006/relationships/hyperlink" Target="https://teahootekahu.cmail19.com/t/t-i-firjhll-l-k/" TargetMode="External"/><Relationship Id="rId22" Type="http://schemas.openxmlformats.org/officeDocument/2006/relationships/image" Target="media/image5.jpeg"/><Relationship Id="rId27" Type="http://schemas.openxmlformats.org/officeDocument/2006/relationships/hyperlink" Target="https://teahootekahu.cmail19.com/t/t-i-firjhll-l-f/" TargetMode="External"/><Relationship Id="rId30" Type="http://schemas.openxmlformats.org/officeDocument/2006/relationships/hyperlink" Target="https://teahootekahu.cmail19.com/t/t-i-firjhll-l-e/" TargetMode="External"/><Relationship Id="rId35" Type="http://schemas.openxmlformats.org/officeDocument/2006/relationships/image" Target="media/image7.png"/><Relationship Id="rId43" Type="http://schemas.openxmlformats.org/officeDocument/2006/relationships/hyperlink" Target="https://teahootekahu.forwardtomyfriend.com/t-l-2AD73FFF-firjhll-l-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2344</Words>
  <Characters>13361</Characters>
  <Application>Microsoft Office Word</Application>
  <DocSecurity>0</DocSecurity>
  <Lines>111</Lines>
  <Paragraphs>31</Paragraphs>
  <ScaleCrop>false</ScaleCrop>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Willis</dc:creator>
  <cp:keywords/>
  <dc:description/>
  <cp:lastModifiedBy>Nicole Willis</cp:lastModifiedBy>
  <cp:revision>1</cp:revision>
  <dcterms:created xsi:type="dcterms:W3CDTF">2023-02-09T03:24:00Z</dcterms:created>
  <dcterms:modified xsi:type="dcterms:W3CDTF">2023-02-09T03:30:00Z</dcterms:modified>
</cp:coreProperties>
</file>