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8FEBE" w14:textId="77777777" w:rsidR="00C86248" w:rsidRPr="00B47C82" w:rsidRDefault="003032E9" w:rsidP="007979D9">
      <w:pPr>
        <w:pStyle w:val="Title"/>
        <w:spacing w:line="240" w:lineRule="auto"/>
        <w:ind w:right="2835"/>
      </w:pPr>
      <w:r>
        <w:t>Pūrongo ārai Mate Pukupuku</w:t>
      </w:r>
      <w:r w:rsidR="007740F9">
        <w:br/>
      </w:r>
      <w:r>
        <w:t>Cancer Prevention REport</w:t>
      </w:r>
    </w:p>
    <w:p w14:paraId="0901AE4C" w14:textId="77777777" w:rsidR="00D27922" w:rsidRPr="00B47C82" w:rsidRDefault="007740F9" w:rsidP="005718A6">
      <w:pPr>
        <w:pStyle w:val="Year"/>
      </w:pPr>
      <w:r>
        <w:t>2022</w:t>
      </w:r>
    </w:p>
    <w:p w14:paraId="208842F9" w14:textId="77777777" w:rsidR="00C05132" w:rsidRPr="00B47C82" w:rsidRDefault="00C05132" w:rsidP="00A06BE4"/>
    <w:p w14:paraId="267E0820" w14:textId="77777777" w:rsidR="00142954" w:rsidRPr="00B47C82" w:rsidRDefault="00142954" w:rsidP="00142954">
      <w:pPr>
        <w:sectPr w:rsidR="00142954" w:rsidRPr="00B47C82" w:rsidSect="00925892">
          <w:headerReference w:type="default" r:id="rId8"/>
          <w:footerReference w:type="default" r:id="rId9"/>
          <w:endnotePr>
            <w:numFmt w:val="decimal"/>
          </w:endnotePr>
          <w:pgSz w:w="11907" w:h="16834" w:code="9"/>
          <w:pgMar w:top="5670" w:right="1134" w:bottom="1134" w:left="1134" w:header="567" w:footer="851" w:gutter="0"/>
          <w:pgNumType w:start="1"/>
          <w:cols w:space="720"/>
        </w:sectPr>
      </w:pPr>
    </w:p>
    <w:tbl>
      <w:tblPr>
        <w:tblW w:w="0" w:type="auto"/>
        <w:tblLook w:val="04A0" w:firstRow="1" w:lastRow="0" w:firstColumn="1" w:lastColumn="0" w:noHBand="0" w:noVBand="1"/>
      </w:tblPr>
      <w:tblGrid>
        <w:gridCol w:w="3793"/>
        <w:gridCol w:w="3794"/>
      </w:tblGrid>
      <w:tr w:rsidR="007740F9" w14:paraId="458D84D8" w14:textId="77777777" w:rsidTr="007740F9">
        <w:tc>
          <w:tcPr>
            <w:tcW w:w="3793" w:type="dxa"/>
            <w:vAlign w:val="center"/>
          </w:tcPr>
          <w:p w14:paraId="4C0A79E8" w14:textId="77777777" w:rsidR="007740F9" w:rsidRDefault="007740F9" w:rsidP="007740F9">
            <w:pPr>
              <w:jc w:val="center"/>
            </w:pPr>
            <w:r>
              <w:rPr>
                <w:rFonts w:ascii="Arial"/>
                <w:noProof/>
                <w:position w:val="3"/>
                <w:lang w:eastAsia="en-NZ"/>
              </w:rPr>
              <w:lastRenderedPageBreak/>
              <w:drawing>
                <wp:inline distT="0" distB="0" distL="0" distR="0" wp14:anchorId="76EAB25C" wp14:editId="24C9756D">
                  <wp:extent cx="1309665" cy="848772"/>
                  <wp:effectExtent l="0" t="0" r="0" b="0"/>
                  <wp:docPr id="2" name="image10.png" descr="University of Otago Wel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0" cstate="print"/>
                          <a:stretch>
                            <a:fillRect/>
                          </a:stretch>
                        </pic:blipFill>
                        <pic:spPr>
                          <a:xfrm>
                            <a:off x="0" y="0"/>
                            <a:ext cx="1309665" cy="848772"/>
                          </a:xfrm>
                          <a:prstGeom prst="rect">
                            <a:avLst/>
                          </a:prstGeom>
                        </pic:spPr>
                      </pic:pic>
                    </a:graphicData>
                  </a:graphic>
                </wp:inline>
              </w:drawing>
            </w:r>
          </w:p>
        </w:tc>
        <w:tc>
          <w:tcPr>
            <w:tcW w:w="3794" w:type="dxa"/>
            <w:vAlign w:val="center"/>
          </w:tcPr>
          <w:p w14:paraId="48F3A1A8" w14:textId="77777777" w:rsidR="007740F9" w:rsidRDefault="007740F9" w:rsidP="007740F9">
            <w:pPr>
              <w:jc w:val="center"/>
            </w:pPr>
            <w:r>
              <w:rPr>
                <w:rFonts w:ascii="Arial"/>
                <w:noProof/>
                <w:lang w:eastAsia="en-NZ"/>
              </w:rPr>
              <w:drawing>
                <wp:inline distT="0" distB="0" distL="0" distR="0" wp14:anchorId="5FAA8FC4" wp14:editId="2D5A42BF">
                  <wp:extent cx="1313344" cy="867537"/>
                  <wp:effectExtent l="0" t="0" r="0" b="0"/>
                  <wp:docPr id="4" name="image11.png" descr="Health Promotion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1" cstate="print"/>
                          <a:stretch>
                            <a:fillRect/>
                          </a:stretch>
                        </pic:blipFill>
                        <pic:spPr>
                          <a:xfrm>
                            <a:off x="0" y="0"/>
                            <a:ext cx="1313344" cy="867537"/>
                          </a:xfrm>
                          <a:prstGeom prst="rect">
                            <a:avLst/>
                          </a:prstGeom>
                        </pic:spPr>
                      </pic:pic>
                    </a:graphicData>
                  </a:graphic>
                </wp:inline>
              </w:drawing>
            </w:r>
          </w:p>
        </w:tc>
      </w:tr>
    </w:tbl>
    <w:p w14:paraId="612E3200" w14:textId="77777777" w:rsidR="00A80363" w:rsidRPr="00B47C82" w:rsidRDefault="00A80363" w:rsidP="007740F9">
      <w:pPr>
        <w:pStyle w:val="Imprint"/>
        <w:spacing w:before="600"/>
        <w:rPr>
          <w:rFonts w:cs="Segoe UI"/>
        </w:rPr>
      </w:pPr>
      <w:r w:rsidRPr="00B47C82">
        <w:rPr>
          <w:rFonts w:cs="Segoe UI"/>
        </w:rPr>
        <w:t xml:space="preserve">Citation: </w:t>
      </w:r>
      <w:r w:rsidR="00CC6EA4">
        <w:rPr>
          <w:rFonts w:cs="Segoe UI"/>
        </w:rPr>
        <w:t>Te Aho o Te Kahu</w:t>
      </w:r>
      <w:r w:rsidR="00442C1C" w:rsidRPr="00B47C82">
        <w:rPr>
          <w:rFonts w:cs="Segoe UI"/>
        </w:rPr>
        <w:t xml:space="preserve">. </w:t>
      </w:r>
      <w:r w:rsidR="007740F9">
        <w:rPr>
          <w:rFonts w:cs="Segoe UI"/>
        </w:rPr>
        <w:t>2022</w:t>
      </w:r>
      <w:r w:rsidR="00442C1C" w:rsidRPr="00B47C82">
        <w:rPr>
          <w:rFonts w:cs="Segoe UI"/>
        </w:rPr>
        <w:t xml:space="preserve">. </w:t>
      </w:r>
      <w:proofErr w:type="spellStart"/>
      <w:r w:rsidR="007740F9">
        <w:rPr>
          <w:rFonts w:cs="Segoe UI"/>
          <w:i/>
        </w:rPr>
        <w:t>Pūrongo</w:t>
      </w:r>
      <w:proofErr w:type="spellEnd"/>
      <w:r w:rsidR="007740F9">
        <w:rPr>
          <w:rFonts w:cs="Segoe UI"/>
          <w:i/>
        </w:rPr>
        <w:t xml:space="preserve"> </w:t>
      </w:r>
      <w:proofErr w:type="spellStart"/>
      <w:r w:rsidR="007740F9">
        <w:rPr>
          <w:rFonts w:cs="Segoe UI"/>
          <w:i/>
        </w:rPr>
        <w:t>Ārai</w:t>
      </w:r>
      <w:proofErr w:type="spellEnd"/>
      <w:r w:rsidR="007740F9">
        <w:rPr>
          <w:rFonts w:cs="Segoe UI"/>
          <w:i/>
        </w:rPr>
        <w:t xml:space="preserve"> Mate </w:t>
      </w:r>
      <w:proofErr w:type="spellStart"/>
      <w:r w:rsidR="007740F9">
        <w:rPr>
          <w:rFonts w:cs="Segoe UI"/>
          <w:i/>
        </w:rPr>
        <w:t>Pukupuku</w:t>
      </w:r>
      <w:proofErr w:type="spellEnd"/>
      <w:r w:rsidR="007740F9">
        <w:rPr>
          <w:rFonts w:cs="Segoe UI"/>
          <w:i/>
        </w:rPr>
        <w:t>, Cancer Prevention Report</w:t>
      </w:r>
      <w:r w:rsidR="00442C1C" w:rsidRPr="00B47C82">
        <w:rPr>
          <w:rFonts w:cs="Segoe UI"/>
        </w:rPr>
        <w:t xml:space="preserve">. Wellington: </w:t>
      </w:r>
      <w:r w:rsidR="00CC6EA4">
        <w:rPr>
          <w:rFonts w:cs="Segoe UI"/>
        </w:rPr>
        <w:t>Te Aho o Te Kahu</w:t>
      </w:r>
      <w:r w:rsidR="007740F9">
        <w:rPr>
          <w:rFonts w:cs="Segoe UI"/>
        </w:rPr>
        <w:t>, Cancer Control Agency</w:t>
      </w:r>
      <w:r w:rsidR="00442C1C" w:rsidRPr="00B47C82">
        <w:rPr>
          <w:rFonts w:cs="Segoe UI"/>
        </w:rPr>
        <w:t>.</w:t>
      </w:r>
    </w:p>
    <w:p w14:paraId="44411A8B" w14:textId="77777777" w:rsidR="00C86248" w:rsidRPr="00B47C82" w:rsidRDefault="00C86248">
      <w:pPr>
        <w:pStyle w:val="Imprint"/>
      </w:pPr>
      <w:r w:rsidRPr="00B47C82">
        <w:t xml:space="preserve">Published in </w:t>
      </w:r>
      <w:r w:rsidR="007740F9">
        <w:t>February 2022</w:t>
      </w:r>
      <w:r w:rsidR="00A63DFF" w:rsidRPr="00B47C82">
        <w:t xml:space="preserve"> </w:t>
      </w:r>
      <w:r w:rsidRPr="00B47C82">
        <w:t xml:space="preserve">by </w:t>
      </w:r>
      <w:r w:rsidR="00CC6EA4">
        <w:t>Te Aho o Te Kahu</w:t>
      </w:r>
      <w:r w:rsidR="00CB3915">
        <w:t>, Cancer Control Agency</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10A41998" w14:textId="77777777" w:rsidR="00082CD6" w:rsidRPr="00B47C82" w:rsidRDefault="00D863D0" w:rsidP="007740F9">
      <w:r w:rsidRPr="00B47C82">
        <w:t>ISBN</w:t>
      </w:r>
      <w:r w:rsidR="00442C1C" w:rsidRPr="00B47C82">
        <w:t xml:space="preserve"> </w:t>
      </w:r>
      <w:r w:rsidR="007740F9">
        <w:rPr>
          <w:w w:val="95"/>
        </w:rPr>
        <w:t>978-1-99-110001-6</w:t>
      </w:r>
      <w:r w:rsidR="007740F9">
        <w:rPr>
          <w:spacing w:val="6"/>
          <w:w w:val="95"/>
        </w:rPr>
        <w:t xml:space="preserve"> </w:t>
      </w:r>
      <w:r w:rsidR="007740F9">
        <w:rPr>
          <w:w w:val="95"/>
        </w:rPr>
        <w:t>(print)</w:t>
      </w:r>
      <w:r w:rsidR="007740F9">
        <w:rPr>
          <w:w w:val="95"/>
        </w:rPr>
        <w:br/>
      </w:r>
      <w:r w:rsidR="007740F9">
        <w:rPr>
          <w:spacing w:val="-1"/>
        </w:rPr>
        <w:t>ISBN:</w:t>
      </w:r>
      <w:r w:rsidR="007740F9">
        <w:rPr>
          <w:spacing w:val="-13"/>
        </w:rPr>
        <w:t xml:space="preserve"> </w:t>
      </w:r>
      <w:r w:rsidR="007740F9">
        <w:rPr>
          <w:spacing w:val="-1"/>
        </w:rPr>
        <w:t>978-1-99-110000-9</w:t>
      </w:r>
      <w:r w:rsidR="002B7BEC" w:rsidRPr="00B47C82">
        <w:t xml:space="preserve"> </w:t>
      </w:r>
      <w:r w:rsidRPr="00B47C82">
        <w:t>(</w:t>
      </w:r>
      <w:r w:rsidR="00442C1C" w:rsidRPr="00B47C82">
        <w:t>online</w:t>
      </w:r>
      <w:r w:rsidRPr="00B47C82">
        <w:t>)</w:t>
      </w:r>
      <w:r w:rsidR="00082CD6" w:rsidRPr="00B47C82">
        <w:br/>
        <w:t xml:space="preserve">HP </w:t>
      </w:r>
      <w:r w:rsidR="007740F9">
        <w:t>8001</w:t>
      </w:r>
    </w:p>
    <w:p w14:paraId="0276A08F" w14:textId="77777777" w:rsidR="005718A6" w:rsidRPr="00B47C82" w:rsidRDefault="005718A6" w:rsidP="00D27922">
      <w:pPr>
        <w:spacing w:before="360"/>
      </w:pPr>
      <w:r w:rsidRPr="00B47C82">
        <w:rPr>
          <w:noProof/>
          <w:lang w:eastAsia="en-NZ"/>
        </w:rPr>
        <w:drawing>
          <wp:inline distT="0" distB="0" distL="0" distR="0" wp14:anchorId="7ABF6C7B" wp14:editId="078E3CE6">
            <wp:extent cx="1396538" cy="650613"/>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1BFA343D" w14:textId="77777777" w:rsidR="00A63DFF" w:rsidRPr="00B47C82" w:rsidRDefault="00A63DFF" w:rsidP="00A63DFF">
      <w:pPr>
        <w:pStyle w:val="Imprint"/>
        <w:spacing w:before="240" w:after="480"/>
      </w:pPr>
      <w:r w:rsidRPr="00B47C82">
        <w:t xml:space="preserve">This document is available at </w:t>
      </w:r>
      <w:hyperlink r:id="rId13" w:history="1">
        <w:r w:rsidR="00CC6EA4" w:rsidRPr="00CC6EA4">
          <w:rPr>
            <w:rStyle w:val="Hyperlink"/>
          </w:rPr>
          <w:t>teaho.govt.nz</w:t>
        </w:r>
      </w:hyperlink>
    </w:p>
    <w:tbl>
      <w:tblPr>
        <w:tblW w:w="0" w:type="auto"/>
        <w:tblLayout w:type="fixed"/>
        <w:tblLook w:val="04A0" w:firstRow="1" w:lastRow="0" w:firstColumn="1" w:lastColumn="0" w:noHBand="0" w:noVBand="1"/>
      </w:tblPr>
      <w:tblGrid>
        <w:gridCol w:w="1526"/>
        <w:gridCol w:w="6061"/>
      </w:tblGrid>
      <w:tr w:rsidR="00A63DFF" w:rsidRPr="00B47C82" w14:paraId="2CFFFF57" w14:textId="77777777" w:rsidTr="00A63DFF">
        <w:trPr>
          <w:cantSplit/>
        </w:trPr>
        <w:tc>
          <w:tcPr>
            <w:tcW w:w="1526" w:type="dxa"/>
          </w:tcPr>
          <w:p w14:paraId="68B2DB08"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63BC9D40" wp14:editId="55E9997C">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089AEB4"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w:t>
            </w:r>
            <w:proofErr w:type="spellStart"/>
            <w:r w:rsidRPr="00B47C82">
              <w:rPr>
                <w:rFonts w:cs="Segoe UI"/>
                <w:sz w:val="15"/>
                <w:szCs w:val="15"/>
              </w:rPr>
              <w:t>ie</w:t>
            </w:r>
            <w:proofErr w:type="spellEnd"/>
            <w:r w:rsidRPr="00B47C82">
              <w:rPr>
                <w:rFonts w:cs="Segoe UI"/>
                <w:sz w:val="15"/>
                <w:szCs w:val="15"/>
              </w:rPr>
              <w:t xml:space="preserve">, copy and redistribute the material in any medium or format; adapt </w:t>
            </w:r>
            <w:proofErr w:type="spellStart"/>
            <w:r w:rsidRPr="00B47C82">
              <w:rPr>
                <w:rFonts w:cs="Segoe UI"/>
                <w:sz w:val="15"/>
                <w:szCs w:val="15"/>
              </w:rPr>
              <w:t>ie</w:t>
            </w:r>
            <w:proofErr w:type="spellEnd"/>
            <w:r w:rsidRPr="00B47C82">
              <w:rPr>
                <w:rFonts w:cs="Segoe UI"/>
                <w:sz w:val="15"/>
                <w:szCs w:val="15"/>
              </w:rPr>
              <w:t xml:space="preserve">, remix, transform and build upon the material. </w:t>
            </w:r>
            <w:r w:rsidRPr="00B47C82">
              <w:rPr>
                <w:rFonts w:cs="Segoe UI"/>
                <w:bCs/>
                <w:sz w:val="15"/>
                <w:szCs w:val="15"/>
              </w:rPr>
              <w:t xml:space="preserve">You must give appropriate credit, provide a link to the </w:t>
            </w:r>
            <w:proofErr w:type="gramStart"/>
            <w:r w:rsidRPr="00B47C82">
              <w:rPr>
                <w:rFonts w:cs="Segoe UI"/>
                <w:bCs/>
                <w:sz w:val="15"/>
                <w:szCs w:val="15"/>
              </w:rPr>
              <w:t>licence</w:t>
            </w:r>
            <w:proofErr w:type="gramEnd"/>
            <w:r w:rsidRPr="00B47C82">
              <w:rPr>
                <w:rFonts w:cs="Segoe UI"/>
                <w:bCs/>
                <w:sz w:val="15"/>
                <w:szCs w:val="15"/>
              </w:rPr>
              <w:t xml:space="preserve"> and indicate if changes were made.</w:t>
            </w:r>
          </w:p>
        </w:tc>
      </w:tr>
    </w:tbl>
    <w:p w14:paraId="73F37F2C" w14:textId="77777777" w:rsidR="007E74F1" w:rsidRPr="00B47C82" w:rsidRDefault="007E74F1" w:rsidP="006E2886">
      <w:pPr>
        <w:pStyle w:val="Imprint"/>
      </w:pPr>
    </w:p>
    <w:p w14:paraId="5F62C1A1" w14:textId="77777777" w:rsidR="00C86248" w:rsidRPr="00B47C82" w:rsidRDefault="00C86248">
      <w:pPr>
        <w:jc w:val="center"/>
        <w:sectPr w:rsidR="00C86248" w:rsidRPr="00B47C82" w:rsidSect="003D59BB">
          <w:footerReference w:type="even" r:id="rId15"/>
          <w:footerReference w:type="default" r:id="rId16"/>
          <w:endnotePr>
            <w:numFmt w:val="decimal"/>
          </w:endnotePr>
          <w:pgSz w:w="11907" w:h="16834" w:code="9"/>
          <w:pgMar w:top="1701" w:right="2268" w:bottom="1134" w:left="2268" w:header="425" w:footer="284" w:gutter="0"/>
          <w:cols w:space="720"/>
          <w:vAlign w:val="bottom"/>
        </w:sectPr>
      </w:pPr>
    </w:p>
    <w:p w14:paraId="6AAB270F" w14:textId="77777777" w:rsidR="00414C35" w:rsidRPr="00B47C82" w:rsidRDefault="007740F9" w:rsidP="00F54E74">
      <w:pPr>
        <w:pStyle w:val="Heading1"/>
      </w:pPr>
      <w:bookmarkStart w:id="0" w:name="_Toc519278551"/>
      <w:bookmarkStart w:id="1" w:name="_Toc95742636"/>
      <w:bookmarkStart w:id="2" w:name="_Toc405792991"/>
      <w:bookmarkStart w:id="3" w:name="_Toc405793224"/>
      <w:r>
        <w:lastRenderedPageBreak/>
        <w:t>Kōrero Takamua</w:t>
      </w:r>
      <w:r>
        <w:br/>
      </w:r>
      <w:r w:rsidR="00414C35" w:rsidRPr="007740F9">
        <w:rPr>
          <w:color w:val="22B893"/>
        </w:rPr>
        <w:t>Foreword</w:t>
      </w:r>
      <w:bookmarkEnd w:id="0"/>
      <w:bookmarkEnd w:id="1"/>
    </w:p>
    <w:p w14:paraId="43066807" w14:textId="77777777" w:rsidR="007740F9" w:rsidRPr="007740F9" w:rsidRDefault="007740F9" w:rsidP="007740F9">
      <w:r w:rsidRPr="007740F9">
        <w:t>It</w:t>
      </w:r>
      <w:r w:rsidRPr="007740F9">
        <w:rPr>
          <w:spacing w:val="-5"/>
        </w:rPr>
        <w:t xml:space="preserve"> </w:t>
      </w:r>
      <w:r w:rsidRPr="007740F9">
        <w:t>gives</w:t>
      </w:r>
      <w:r w:rsidRPr="007740F9">
        <w:rPr>
          <w:spacing w:val="-4"/>
        </w:rPr>
        <w:t xml:space="preserve"> </w:t>
      </w:r>
      <w:r w:rsidRPr="007740F9">
        <w:t>me</w:t>
      </w:r>
      <w:r w:rsidRPr="007740F9">
        <w:rPr>
          <w:spacing w:val="-5"/>
        </w:rPr>
        <w:t xml:space="preserve"> </w:t>
      </w:r>
      <w:r w:rsidRPr="007740F9">
        <w:t>great</w:t>
      </w:r>
      <w:r w:rsidRPr="007740F9">
        <w:rPr>
          <w:spacing w:val="-4"/>
        </w:rPr>
        <w:t xml:space="preserve"> </w:t>
      </w:r>
      <w:r w:rsidRPr="007740F9">
        <w:t>pleasure</w:t>
      </w:r>
      <w:r w:rsidRPr="007740F9">
        <w:rPr>
          <w:spacing w:val="-5"/>
        </w:rPr>
        <w:t xml:space="preserve"> </w:t>
      </w:r>
      <w:r w:rsidRPr="007740F9">
        <w:t>to</w:t>
      </w:r>
      <w:r w:rsidRPr="007740F9">
        <w:rPr>
          <w:spacing w:val="-4"/>
        </w:rPr>
        <w:t xml:space="preserve"> </w:t>
      </w:r>
      <w:r w:rsidRPr="007740F9">
        <w:t>present</w:t>
      </w:r>
      <w:r w:rsidRPr="007740F9">
        <w:rPr>
          <w:spacing w:val="-5"/>
        </w:rPr>
        <w:t xml:space="preserve"> </w:t>
      </w:r>
      <w:r w:rsidRPr="007740F9">
        <w:t>the</w:t>
      </w:r>
      <w:r w:rsidRPr="007740F9">
        <w:rPr>
          <w:spacing w:val="-4"/>
        </w:rPr>
        <w:t xml:space="preserve"> </w:t>
      </w:r>
      <w:proofErr w:type="spellStart"/>
      <w:r w:rsidRPr="007740F9">
        <w:rPr>
          <w:i/>
        </w:rPr>
        <w:t>Pūrongo</w:t>
      </w:r>
      <w:proofErr w:type="spellEnd"/>
      <w:r w:rsidRPr="007740F9">
        <w:rPr>
          <w:i/>
          <w:spacing w:val="-6"/>
        </w:rPr>
        <w:t xml:space="preserve"> </w:t>
      </w:r>
      <w:proofErr w:type="spellStart"/>
      <w:r w:rsidRPr="007740F9">
        <w:rPr>
          <w:i/>
        </w:rPr>
        <w:t>Ārai</w:t>
      </w:r>
      <w:proofErr w:type="spellEnd"/>
      <w:r w:rsidRPr="007740F9">
        <w:rPr>
          <w:i/>
          <w:spacing w:val="-5"/>
        </w:rPr>
        <w:t xml:space="preserve"> </w:t>
      </w:r>
      <w:r w:rsidRPr="007740F9">
        <w:rPr>
          <w:i/>
        </w:rPr>
        <w:t>Mate</w:t>
      </w:r>
      <w:r w:rsidRPr="007740F9">
        <w:rPr>
          <w:i/>
          <w:spacing w:val="-6"/>
        </w:rPr>
        <w:t xml:space="preserve"> </w:t>
      </w:r>
      <w:proofErr w:type="spellStart"/>
      <w:r w:rsidRPr="007740F9">
        <w:rPr>
          <w:i/>
        </w:rPr>
        <w:t>Pukupuku</w:t>
      </w:r>
      <w:proofErr w:type="spellEnd"/>
      <w:r w:rsidRPr="007740F9">
        <w:rPr>
          <w:i/>
          <w:spacing w:val="-5"/>
        </w:rPr>
        <w:t xml:space="preserve"> </w:t>
      </w:r>
      <w:r w:rsidRPr="007740F9">
        <w:t>|</w:t>
      </w:r>
      <w:r w:rsidRPr="007740F9">
        <w:rPr>
          <w:spacing w:val="-5"/>
        </w:rPr>
        <w:t xml:space="preserve"> </w:t>
      </w:r>
      <w:r w:rsidRPr="007740F9">
        <w:t>Cancer</w:t>
      </w:r>
      <w:r w:rsidRPr="007740F9">
        <w:rPr>
          <w:spacing w:val="-57"/>
        </w:rPr>
        <w:t xml:space="preserve"> </w:t>
      </w:r>
      <w:r w:rsidRPr="007740F9">
        <w:t>Prevention Report. This report pulls together data, research and</w:t>
      </w:r>
      <w:r w:rsidRPr="007740F9">
        <w:rPr>
          <w:spacing w:val="1"/>
        </w:rPr>
        <w:t xml:space="preserve"> </w:t>
      </w:r>
      <w:r w:rsidRPr="007740F9">
        <w:t>recommendations</w:t>
      </w:r>
      <w:r w:rsidRPr="007740F9">
        <w:rPr>
          <w:spacing w:val="4"/>
        </w:rPr>
        <w:t xml:space="preserve"> </w:t>
      </w:r>
      <w:r w:rsidRPr="007740F9">
        <w:t>focused</w:t>
      </w:r>
      <w:r w:rsidRPr="007740F9">
        <w:rPr>
          <w:spacing w:val="4"/>
        </w:rPr>
        <w:t xml:space="preserve"> </w:t>
      </w:r>
      <w:r w:rsidRPr="007740F9">
        <w:t>on</w:t>
      </w:r>
      <w:r w:rsidRPr="007740F9">
        <w:rPr>
          <w:spacing w:val="4"/>
        </w:rPr>
        <w:t xml:space="preserve"> </w:t>
      </w:r>
      <w:r w:rsidRPr="007740F9">
        <w:t>preventing</w:t>
      </w:r>
      <w:r w:rsidRPr="007740F9">
        <w:rPr>
          <w:spacing w:val="4"/>
        </w:rPr>
        <w:t xml:space="preserve"> </w:t>
      </w:r>
      <w:r w:rsidRPr="007740F9">
        <w:t>cancer</w:t>
      </w:r>
      <w:r w:rsidRPr="007740F9">
        <w:rPr>
          <w:spacing w:val="4"/>
        </w:rPr>
        <w:t xml:space="preserve"> </w:t>
      </w:r>
      <w:r w:rsidRPr="007740F9">
        <w:t>all</w:t>
      </w:r>
      <w:r w:rsidRPr="007740F9">
        <w:rPr>
          <w:spacing w:val="4"/>
        </w:rPr>
        <w:t xml:space="preserve"> </w:t>
      </w:r>
      <w:r w:rsidRPr="007740F9">
        <w:t>in</w:t>
      </w:r>
      <w:r w:rsidRPr="007740F9">
        <w:rPr>
          <w:spacing w:val="4"/>
        </w:rPr>
        <w:t xml:space="preserve"> </w:t>
      </w:r>
      <w:r w:rsidRPr="007740F9">
        <w:t>one</w:t>
      </w:r>
      <w:r w:rsidRPr="007740F9">
        <w:rPr>
          <w:spacing w:val="5"/>
        </w:rPr>
        <w:t xml:space="preserve"> </w:t>
      </w:r>
      <w:r w:rsidRPr="007740F9">
        <w:t>document.</w:t>
      </w:r>
      <w:r w:rsidRPr="007740F9">
        <w:rPr>
          <w:spacing w:val="4"/>
        </w:rPr>
        <w:t xml:space="preserve"> </w:t>
      </w:r>
      <w:r w:rsidRPr="007740F9">
        <w:t>Our</w:t>
      </w:r>
      <w:r w:rsidRPr="007740F9">
        <w:rPr>
          <w:spacing w:val="4"/>
        </w:rPr>
        <w:t xml:space="preserve"> </w:t>
      </w:r>
      <w:r w:rsidRPr="007740F9">
        <w:t>aim</w:t>
      </w:r>
      <w:r w:rsidRPr="007740F9">
        <w:rPr>
          <w:spacing w:val="1"/>
        </w:rPr>
        <w:t xml:space="preserve"> </w:t>
      </w:r>
      <w:r w:rsidRPr="007740F9">
        <w:t>is to identify ways that we can create environments that support people to</w:t>
      </w:r>
      <w:r w:rsidRPr="007740F9">
        <w:rPr>
          <w:spacing w:val="1"/>
        </w:rPr>
        <w:t xml:space="preserve"> </w:t>
      </w:r>
      <w:r w:rsidRPr="007740F9">
        <w:t>stay</w:t>
      </w:r>
      <w:r w:rsidRPr="007740F9">
        <w:rPr>
          <w:spacing w:val="-12"/>
        </w:rPr>
        <w:t xml:space="preserve"> </w:t>
      </w:r>
      <w:r w:rsidRPr="007740F9">
        <w:t>well.</w:t>
      </w:r>
    </w:p>
    <w:p w14:paraId="67D1BEDD" w14:textId="77777777" w:rsidR="007740F9" w:rsidRPr="007740F9" w:rsidRDefault="007740F9" w:rsidP="007740F9"/>
    <w:p w14:paraId="74941AD2" w14:textId="77777777" w:rsidR="007740F9" w:rsidRPr="007740F9" w:rsidRDefault="007740F9" w:rsidP="007740F9">
      <w:r w:rsidRPr="007740F9">
        <w:t>Cancer is the leading cause of health loss in Aotearoa New Zealand with about</w:t>
      </w:r>
      <w:r>
        <w:t xml:space="preserve"> </w:t>
      </w:r>
      <w:r w:rsidRPr="007740F9">
        <w:t>25,000 people diagnosed every year. Cancer is a complex condition, and it is</w:t>
      </w:r>
      <w:r w:rsidRPr="007740F9">
        <w:rPr>
          <w:spacing w:val="1"/>
        </w:rPr>
        <w:t xml:space="preserve"> </w:t>
      </w:r>
      <w:r w:rsidRPr="007740F9">
        <w:t>not possible to predict who will develop cancer and who will not. However,</w:t>
      </w:r>
      <w:r w:rsidRPr="007740F9">
        <w:rPr>
          <w:spacing w:val="1"/>
        </w:rPr>
        <w:t xml:space="preserve"> </w:t>
      </w:r>
      <w:r w:rsidRPr="007740F9">
        <w:t>half of all cancers are potentially preventable, by reducing everyone’s</w:t>
      </w:r>
      <w:r w:rsidRPr="007740F9">
        <w:rPr>
          <w:spacing w:val="1"/>
        </w:rPr>
        <w:t xml:space="preserve"> </w:t>
      </w:r>
      <w:r w:rsidRPr="007740F9">
        <w:t>exposure</w:t>
      </w:r>
      <w:r w:rsidRPr="007740F9">
        <w:rPr>
          <w:spacing w:val="-3"/>
        </w:rPr>
        <w:t xml:space="preserve"> </w:t>
      </w:r>
      <w:r w:rsidRPr="007740F9">
        <w:t>to</w:t>
      </w:r>
      <w:r w:rsidRPr="007740F9">
        <w:rPr>
          <w:spacing w:val="-2"/>
        </w:rPr>
        <w:t xml:space="preserve"> </w:t>
      </w:r>
      <w:r w:rsidRPr="007740F9">
        <w:t>the</w:t>
      </w:r>
      <w:r w:rsidRPr="007740F9">
        <w:rPr>
          <w:spacing w:val="-3"/>
        </w:rPr>
        <w:t xml:space="preserve"> </w:t>
      </w:r>
      <w:r w:rsidRPr="007740F9">
        <w:t>cancer</w:t>
      </w:r>
      <w:r w:rsidRPr="007740F9">
        <w:rPr>
          <w:spacing w:val="-2"/>
        </w:rPr>
        <w:t xml:space="preserve"> </w:t>
      </w:r>
      <w:r w:rsidRPr="007740F9">
        <w:t>risk</w:t>
      </w:r>
      <w:r w:rsidRPr="007740F9">
        <w:rPr>
          <w:spacing w:val="-3"/>
        </w:rPr>
        <w:t xml:space="preserve"> </w:t>
      </w:r>
      <w:r w:rsidRPr="007740F9">
        <w:t>factors</w:t>
      </w:r>
      <w:r w:rsidRPr="007740F9">
        <w:rPr>
          <w:spacing w:val="-2"/>
        </w:rPr>
        <w:t xml:space="preserve"> </w:t>
      </w:r>
      <w:r w:rsidRPr="007740F9">
        <w:t>present</w:t>
      </w:r>
      <w:r w:rsidRPr="007740F9">
        <w:rPr>
          <w:spacing w:val="-3"/>
        </w:rPr>
        <w:t xml:space="preserve"> </w:t>
      </w:r>
      <w:r w:rsidRPr="007740F9">
        <w:t>in</w:t>
      </w:r>
      <w:r w:rsidRPr="007740F9">
        <w:rPr>
          <w:spacing w:val="-2"/>
        </w:rPr>
        <w:t xml:space="preserve"> </w:t>
      </w:r>
      <w:r w:rsidRPr="007740F9">
        <w:t>our</w:t>
      </w:r>
      <w:r w:rsidRPr="007740F9">
        <w:rPr>
          <w:spacing w:val="-3"/>
        </w:rPr>
        <w:t xml:space="preserve"> </w:t>
      </w:r>
      <w:r w:rsidRPr="007740F9">
        <w:t>environments.</w:t>
      </w:r>
      <w:r w:rsidRPr="007740F9">
        <w:rPr>
          <w:spacing w:val="-2"/>
        </w:rPr>
        <w:t xml:space="preserve"> </w:t>
      </w:r>
      <w:r w:rsidRPr="007740F9">
        <w:t>This</w:t>
      </w:r>
      <w:r w:rsidRPr="007740F9">
        <w:rPr>
          <w:spacing w:val="-3"/>
        </w:rPr>
        <w:t xml:space="preserve"> </w:t>
      </w:r>
      <w:r w:rsidRPr="007740F9">
        <w:t>report focuses</w:t>
      </w:r>
      <w:r w:rsidRPr="007740F9">
        <w:rPr>
          <w:spacing w:val="4"/>
        </w:rPr>
        <w:t xml:space="preserve"> </w:t>
      </w:r>
      <w:r w:rsidRPr="007740F9">
        <w:t>on</w:t>
      </w:r>
      <w:r w:rsidRPr="007740F9">
        <w:rPr>
          <w:spacing w:val="5"/>
        </w:rPr>
        <w:t xml:space="preserve"> </w:t>
      </w:r>
      <w:r w:rsidRPr="007740F9">
        <w:t>what</w:t>
      </w:r>
      <w:r w:rsidRPr="007740F9">
        <w:rPr>
          <w:spacing w:val="5"/>
        </w:rPr>
        <w:t xml:space="preserve"> </w:t>
      </w:r>
      <w:r w:rsidRPr="007740F9">
        <w:t>actions</w:t>
      </w:r>
      <w:r w:rsidRPr="007740F9">
        <w:rPr>
          <w:spacing w:val="5"/>
        </w:rPr>
        <w:t xml:space="preserve"> </w:t>
      </w:r>
      <w:r w:rsidRPr="007740F9">
        <w:t>Aotearoa</w:t>
      </w:r>
      <w:r w:rsidRPr="007740F9">
        <w:rPr>
          <w:spacing w:val="5"/>
        </w:rPr>
        <w:t xml:space="preserve"> </w:t>
      </w:r>
      <w:r w:rsidRPr="007740F9">
        <w:t>can</w:t>
      </w:r>
      <w:r w:rsidRPr="007740F9">
        <w:rPr>
          <w:spacing w:val="5"/>
        </w:rPr>
        <w:t xml:space="preserve"> </w:t>
      </w:r>
      <w:r w:rsidRPr="007740F9">
        <w:t>take</w:t>
      </w:r>
      <w:r w:rsidRPr="007740F9">
        <w:rPr>
          <w:spacing w:val="5"/>
        </w:rPr>
        <w:t xml:space="preserve"> </w:t>
      </w:r>
      <w:r w:rsidRPr="007740F9">
        <w:t>to</w:t>
      </w:r>
      <w:r w:rsidRPr="007740F9">
        <w:rPr>
          <w:spacing w:val="5"/>
        </w:rPr>
        <w:t xml:space="preserve"> </w:t>
      </w:r>
      <w:r w:rsidRPr="007740F9">
        <w:t>stop</w:t>
      </w:r>
      <w:r w:rsidRPr="007740F9">
        <w:rPr>
          <w:spacing w:val="5"/>
        </w:rPr>
        <w:t xml:space="preserve"> </w:t>
      </w:r>
      <w:r w:rsidRPr="007740F9">
        <w:t>cancers</w:t>
      </w:r>
      <w:r w:rsidRPr="007740F9">
        <w:rPr>
          <w:spacing w:val="5"/>
        </w:rPr>
        <w:t xml:space="preserve"> </w:t>
      </w:r>
      <w:r w:rsidRPr="007740F9">
        <w:t>developing</w:t>
      </w:r>
      <w:r w:rsidRPr="007740F9">
        <w:rPr>
          <w:spacing w:val="5"/>
        </w:rPr>
        <w:t xml:space="preserve"> </w:t>
      </w:r>
      <w:r w:rsidRPr="007740F9">
        <w:t>whenever</w:t>
      </w:r>
      <w:r w:rsidRPr="007740F9">
        <w:rPr>
          <w:spacing w:val="5"/>
        </w:rPr>
        <w:t xml:space="preserve"> </w:t>
      </w:r>
      <w:r w:rsidRPr="007740F9">
        <w:t>that</w:t>
      </w:r>
      <w:r w:rsidRPr="007740F9">
        <w:rPr>
          <w:spacing w:val="5"/>
        </w:rPr>
        <w:t xml:space="preserve"> </w:t>
      </w:r>
      <w:r w:rsidRPr="007740F9">
        <w:t>is</w:t>
      </w:r>
      <w:r w:rsidRPr="007740F9">
        <w:rPr>
          <w:spacing w:val="5"/>
        </w:rPr>
        <w:t xml:space="preserve"> </w:t>
      </w:r>
      <w:r w:rsidRPr="007740F9">
        <w:t>possible</w:t>
      </w:r>
      <w:r w:rsidRPr="007740F9">
        <w:rPr>
          <w:spacing w:val="5"/>
        </w:rPr>
        <w:t xml:space="preserve"> </w:t>
      </w:r>
      <w:r w:rsidRPr="007740F9">
        <w:t>–</w:t>
      </w:r>
      <w:r w:rsidRPr="007740F9">
        <w:rPr>
          <w:spacing w:val="1"/>
        </w:rPr>
        <w:t xml:space="preserve"> </w:t>
      </w:r>
      <w:r w:rsidRPr="007740F9">
        <w:t>surely,</w:t>
      </w:r>
      <w:r w:rsidRPr="007740F9">
        <w:rPr>
          <w:spacing w:val="-7"/>
        </w:rPr>
        <w:t xml:space="preserve"> </w:t>
      </w:r>
      <w:r w:rsidRPr="007740F9">
        <w:t>the</w:t>
      </w:r>
      <w:r w:rsidRPr="007740F9">
        <w:rPr>
          <w:spacing w:val="-6"/>
        </w:rPr>
        <w:t xml:space="preserve"> </w:t>
      </w:r>
      <w:r w:rsidRPr="007740F9">
        <w:t>very</w:t>
      </w:r>
      <w:r w:rsidRPr="007740F9">
        <w:rPr>
          <w:spacing w:val="-6"/>
        </w:rPr>
        <w:t xml:space="preserve"> </w:t>
      </w:r>
      <w:r w:rsidRPr="007740F9">
        <w:t>best</w:t>
      </w:r>
      <w:r w:rsidRPr="007740F9">
        <w:rPr>
          <w:spacing w:val="-6"/>
        </w:rPr>
        <w:t xml:space="preserve"> </w:t>
      </w:r>
      <w:r w:rsidRPr="007740F9">
        <w:t>possible</w:t>
      </w:r>
      <w:r w:rsidRPr="007740F9">
        <w:rPr>
          <w:spacing w:val="-6"/>
        </w:rPr>
        <w:t xml:space="preserve"> </w:t>
      </w:r>
      <w:r w:rsidRPr="007740F9">
        <w:t>cancer</w:t>
      </w:r>
      <w:r w:rsidRPr="007740F9">
        <w:rPr>
          <w:spacing w:val="-6"/>
        </w:rPr>
        <w:t xml:space="preserve"> </w:t>
      </w:r>
      <w:r w:rsidRPr="007740F9">
        <w:t>outcome.</w:t>
      </w:r>
      <w:r w:rsidRPr="007740F9">
        <w:rPr>
          <w:spacing w:val="-6"/>
        </w:rPr>
        <w:t xml:space="preserve"> </w:t>
      </w:r>
      <w:r w:rsidRPr="007740F9">
        <w:t>As</w:t>
      </w:r>
      <w:r w:rsidRPr="007740F9">
        <w:rPr>
          <w:spacing w:val="-6"/>
        </w:rPr>
        <w:t xml:space="preserve"> </w:t>
      </w:r>
      <w:r w:rsidRPr="007740F9">
        <w:t>an</w:t>
      </w:r>
      <w:r w:rsidRPr="007740F9">
        <w:rPr>
          <w:spacing w:val="-6"/>
        </w:rPr>
        <w:t xml:space="preserve"> </w:t>
      </w:r>
      <w:r w:rsidRPr="007740F9">
        <w:t>Agency,</w:t>
      </w:r>
      <w:r w:rsidRPr="007740F9">
        <w:rPr>
          <w:spacing w:val="-6"/>
        </w:rPr>
        <w:t xml:space="preserve"> </w:t>
      </w:r>
      <w:r w:rsidRPr="007740F9">
        <w:t>we</w:t>
      </w:r>
      <w:r w:rsidRPr="007740F9">
        <w:rPr>
          <w:spacing w:val="-6"/>
        </w:rPr>
        <w:t xml:space="preserve"> </w:t>
      </w:r>
      <w:r w:rsidRPr="007740F9">
        <w:t>will</w:t>
      </w:r>
      <w:r w:rsidRPr="007740F9">
        <w:rPr>
          <w:spacing w:val="-6"/>
        </w:rPr>
        <w:t xml:space="preserve"> </w:t>
      </w:r>
      <w:r w:rsidRPr="007740F9">
        <w:t>continue</w:t>
      </w:r>
      <w:r w:rsidRPr="007740F9">
        <w:rPr>
          <w:spacing w:val="-6"/>
        </w:rPr>
        <w:t xml:space="preserve"> </w:t>
      </w:r>
      <w:r w:rsidRPr="007740F9">
        <w:t>to</w:t>
      </w:r>
      <w:r w:rsidRPr="007740F9">
        <w:rPr>
          <w:spacing w:val="-6"/>
        </w:rPr>
        <w:t xml:space="preserve"> </w:t>
      </w:r>
      <w:r w:rsidRPr="007740F9">
        <w:t>work</w:t>
      </w:r>
      <w:r w:rsidRPr="007740F9">
        <w:rPr>
          <w:spacing w:val="-6"/>
        </w:rPr>
        <w:t xml:space="preserve"> </w:t>
      </w:r>
      <w:r w:rsidRPr="007740F9">
        <w:t>hard</w:t>
      </w:r>
      <w:r w:rsidRPr="007740F9">
        <w:rPr>
          <w:spacing w:val="-6"/>
        </w:rPr>
        <w:t xml:space="preserve"> </w:t>
      </w:r>
      <w:r w:rsidRPr="007740F9">
        <w:t>to</w:t>
      </w:r>
      <w:r w:rsidRPr="007740F9">
        <w:rPr>
          <w:spacing w:val="-6"/>
        </w:rPr>
        <w:t xml:space="preserve"> </w:t>
      </w:r>
      <w:r w:rsidRPr="007740F9">
        <w:t>mak</w:t>
      </w:r>
      <w:r w:rsidR="00E6746A">
        <w:t xml:space="preserve">e </w:t>
      </w:r>
      <w:r w:rsidRPr="007740F9">
        <w:t>sure</w:t>
      </w:r>
      <w:r w:rsidRPr="007740F9">
        <w:rPr>
          <w:spacing w:val="-8"/>
        </w:rPr>
        <w:t xml:space="preserve"> </w:t>
      </w:r>
      <w:r w:rsidRPr="007740F9">
        <w:t>that</w:t>
      </w:r>
      <w:r w:rsidRPr="007740F9">
        <w:rPr>
          <w:spacing w:val="-7"/>
        </w:rPr>
        <w:t xml:space="preserve"> </w:t>
      </w:r>
      <w:r w:rsidRPr="007740F9">
        <w:t>those</w:t>
      </w:r>
      <w:r w:rsidRPr="007740F9">
        <w:rPr>
          <w:spacing w:val="-8"/>
        </w:rPr>
        <w:t xml:space="preserve"> </w:t>
      </w:r>
      <w:r w:rsidRPr="007740F9">
        <w:t>who</w:t>
      </w:r>
      <w:r w:rsidRPr="007740F9">
        <w:rPr>
          <w:spacing w:val="-7"/>
        </w:rPr>
        <w:t xml:space="preserve"> </w:t>
      </w:r>
      <w:r w:rsidRPr="007740F9">
        <w:t>are</w:t>
      </w:r>
      <w:r w:rsidRPr="007740F9">
        <w:rPr>
          <w:spacing w:val="-8"/>
        </w:rPr>
        <w:t xml:space="preserve"> </w:t>
      </w:r>
      <w:r w:rsidRPr="007740F9">
        <w:t>affected</w:t>
      </w:r>
      <w:r w:rsidRPr="007740F9">
        <w:rPr>
          <w:spacing w:val="-7"/>
        </w:rPr>
        <w:t xml:space="preserve"> </w:t>
      </w:r>
      <w:r w:rsidRPr="007740F9">
        <w:t>by</w:t>
      </w:r>
      <w:r w:rsidRPr="007740F9">
        <w:rPr>
          <w:spacing w:val="-7"/>
        </w:rPr>
        <w:t xml:space="preserve"> </w:t>
      </w:r>
      <w:r w:rsidRPr="007740F9">
        <w:t>cancer</w:t>
      </w:r>
      <w:r w:rsidRPr="007740F9">
        <w:rPr>
          <w:spacing w:val="-8"/>
        </w:rPr>
        <w:t xml:space="preserve"> </w:t>
      </w:r>
      <w:r w:rsidRPr="007740F9">
        <w:t>receive</w:t>
      </w:r>
      <w:r w:rsidRPr="007740F9">
        <w:rPr>
          <w:spacing w:val="-7"/>
        </w:rPr>
        <w:t xml:space="preserve"> </w:t>
      </w:r>
      <w:r w:rsidRPr="007740F9">
        <w:t>the</w:t>
      </w:r>
      <w:r w:rsidRPr="007740F9">
        <w:rPr>
          <w:spacing w:val="-8"/>
        </w:rPr>
        <w:t xml:space="preserve"> </w:t>
      </w:r>
      <w:r w:rsidRPr="007740F9">
        <w:t>best</w:t>
      </w:r>
      <w:r w:rsidRPr="007740F9">
        <w:rPr>
          <w:spacing w:val="-7"/>
        </w:rPr>
        <w:t xml:space="preserve"> </w:t>
      </w:r>
      <w:r w:rsidRPr="007740F9">
        <w:t>possible</w:t>
      </w:r>
      <w:r w:rsidRPr="007740F9">
        <w:rPr>
          <w:spacing w:val="-7"/>
        </w:rPr>
        <w:t xml:space="preserve"> </w:t>
      </w:r>
      <w:r w:rsidRPr="007740F9">
        <w:t>care.</w:t>
      </w:r>
    </w:p>
    <w:p w14:paraId="70D5D1C3" w14:textId="77777777" w:rsidR="007740F9" w:rsidRPr="007740F9" w:rsidRDefault="007740F9" w:rsidP="007740F9"/>
    <w:p w14:paraId="55DD2032" w14:textId="77777777" w:rsidR="007740F9" w:rsidRPr="007740F9" w:rsidRDefault="007740F9" w:rsidP="007740F9">
      <w:r w:rsidRPr="007740F9">
        <w:t>Te</w:t>
      </w:r>
      <w:r w:rsidRPr="007740F9">
        <w:rPr>
          <w:spacing w:val="1"/>
        </w:rPr>
        <w:t xml:space="preserve"> </w:t>
      </w:r>
      <w:r w:rsidRPr="007740F9">
        <w:t>Aho</w:t>
      </w:r>
      <w:r w:rsidRPr="007740F9">
        <w:rPr>
          <w:spacing w:val="1"/>
        </w:rPr>
        <w:t xml:space="preserve"> </w:t>
      </w:r>
      <w:r w:rsidRPr="007740F9">
        <w:t>o</w:t>
      </w:r>
      <w:r w:rsidRPr="007740F9">
        <w:rPr>
          <w:spacing w:val="2"/>
        </w:rPr>
        <w:t xml:space="preserve"> </w:t>
      </w:r>
      <w:r w:rsidRPr="007740F9">
        <w:t>Te</w:t>
      </w:r>
      <w:r w:rsidRPr="007740F9">
        <w:rPr>
          <w:spacing w:val="1"/>
        </w:rPr>
        <w:t xml:space="preserve"> </w:t>
      </w:r>
      <w:r w:rsidRPr="007740F9">
        <w:t>Kahu</w:t>
      </w:r>
      <w:r w:rsidRPr="007740F9">
        <w:rPr>
          <w:spacing w:val="1"/>
        </w:rPr>
        <w:t xml:space="preserve"> </w:t>
      </w:r>
      <w:r w:rsidRPr="007740F9">
        <w:t>is</w:t>
      </w:r>
      <w:r w:rsidRPr="007740F9">
        <w:rPr>
          <w:spacing w:val="2"/>
        </w:rPr>
        <w:t xml:space="preserve"> </w:t>
      </w:r>
      <w:r w:rsidRPr="007740F9">
        <w:t>unwaveringly</w:t>
      </w:r>
      <w:r w:rsidRPr="007740F9">
        <w:rPr>
          <w:spacing w:val="1"/>
        </w:rPr>
        <w:t xml:space="preserve"> </w:t>
      </w:r>
      <w:r w:rsidRPr="007740F9">
        <w:t>focused</w:t>
      </w:r>
      <w:r w:rsidRPr="007740F9">
        <w:rPr>
          <w:spacing w:val="2"/>
        </w:rPr>
        <w:t xml:space="preserve"> </w:t>
      </w:r>
      <w:r w:rsidRPr="007740F9">
        <w:t>on</w:t>
      </w:r>
      <w:r w:rsidRPr="007740F9">
        <w:rPr>
          <w:spacing w:val="1"/>
        </w:rPr>
        <w:t xml:space="preserve"> </w:t>
      </w:r>
      <w:r w:rsidRPr="007740F9">
        <w:t>equity</w:t>
      </w:r>
      <w:r w:rsidRPr="007740F9">
        <w:rPr>
          <w:spacing w:val="1"/>
        </w:rPr>
        <w:t xml:space="preserve"> </w:t>
      </w:r>
      <w:r w:rsidRPr="007740F9">
        <w:t>and</w:t>
      </w:r>
      <w:r w:rsidRPr="007740F9">
        <w:rPr>
          <w:spacing w:val="2"/>
        </w:rPr>
        <w:t xml:space="preserve"> </w:t>
      </w:r>
      <w:r w:rsidRPr="007740F9">
        <w:t>reducing</w:t>
      </w:r>
      <w:r w:rsidRPr="007740F9">
        <w:rPr>
          <w:spacing w:val="1"/>
        </w:rPr>
        <w:t xml:space="preserve"> </w:t>
      </w:r>
      <w:r w:rsidRPr="007740F9">
        <w:t>the</w:t>
      </w:r>
      <w:r w:rsidRPr="007740F9">
        <w:rPr>
          <w:spacing w:val="1"/>
        </w:rPr>
        <w:t xml:space="preserve"> </w:t>
      </w:r>
      <w:r w:rsidRPr="007740F9">
        <w:t>impact</w:t>
      </w:r>
      <w:r w:rsidRPr="007740F9">
        <w:rPr>
          <w:spacing w:val="2"/>
        </w:rPr>
        <w:t xml:space="preserve"> </w:t>
      </w:r>
      <w:r w:rsidRPr="007740F9">
        <w:t>of</w:t>
      </w:r>
      <w:r w:rsidRPr="007740F9">
        <w:rPr>
          <w:spacing w:val="1"/>
        </w:rPr>
        <w:t xml:space="preserve"> </w:t>
      </w:r>
      <w:r w:rsidRPr="007740F9">
        <w:t>cancer</w:t>
      </w:r>
      <w:r w:rsidRPr="007740F9">
        <w:rPr>
          <w:spacing w:val="2"/>
        </w:rPr>
        <w:t xml:space="preserve"> </w:t>
      </w:r>
      <w:r w:rsidRPr="007740F9">
        <w:t>on</w:t>
      </w:r>
      <w:r w:rsidRPr="007740F9">
        <w:rPr>
          <w:spacing w:val="1"/>
        </w:rPr>
        <w:t xml:space="preserve"> </w:t>
      </w:r>
      <w:r w:rsidRPr="007740F9">
        <w:t>Māori</w:t>
      </w:r>
      <w:r w:rsidRPr="007740F9">
        <w:rPr>
          <w:spacing w:val="1"/>
        </w:rPr>
        <w:t xml:space="preserve"> </w:t>
      </w:r>
      <w:r w:rsidRPr="007740F9">
        <w:t>an</w:t>
      </w:r>
      <w:r w:rsidR="00E6746A">
        <w:t xml:space="preserve">d </w:t>
      </w:r>
      <w:r w:rsidRPr="007740F9">
        <w:t>Pacific peoples. Research tells us that cancers developed by Māori and Pacific are more preventabl</w:t>
      </w:r>
      <w:r w:rsidR="00E6746A">
        <w:t xml:space="preserve">e </w:t>
      </w:r>
      <w:r w:rsidRPr="007740F9">
        <w:t>and inequities compound as whānau travel along the cancer pathway. If we are serious about</w:t>
      </w:r>
      <w:r w:rsidRPr="007740F9">
        <w:rPr>
          <w:spacing w:val="1"/>
        </w:rPr>
        <w:t xml:space="preserve"> </w:t>
      </w:r>
      <w:r w:rsidRPr="007740F9">
        <w:t>reducing</w:t>
      </w:r>
      <w:r w:rsidRPr="007740F9">
        <w:rPr>
          <w:spacing w:val="-6"/>
        </w:rPr>
        <w:t xml:space="preserve"> </w:t>
      </w:r>
      <w:r w:rsidRPr="007740F9">
        <w:t>the</w:t>
      </w:r>
      <w:r w:rsidRPr="007740F9">
        <w:rPr>
          <w:spacing w:val="-6"/>
        </w:rPr>
        <w:t xml:space="preserve"> </w:t>
      </w:r>
      <w:r w:rsidRPr="007740F9">
        <w:t>inequities</w:t>
      </w:r>
      <w:r w:rsidRPr="007740F9">
        <w:rPr>
          <w:spacing w:val="-5"/>
        </w:rPr>
        <w:t xml:space="preserve"> </w:t>
      </w:r>
      <w:r w:rsidRPr="007740F9">
        <w:t>in</w:t>
      </w:r>
      <w:r w:rsidRPr="007740F9">
        <w:rPr>
          <w:spacing w:val="-6"/>
        </w:rPr>
        <w:t xml:space="preserve"> </w:t>
      </w:r>
      <w:r w:rsidRPr="007740F9">
        <w:t>cancer</w:t>
      </w:r>
      <w:r w:rsidRPr="007740F9">
        <w:rPr>
          <w:spacing w:val="-5"/>
        </w:rPr>
        <w:t xml:space="preserve"> </w:t>
      </w:r>
      <w:r w:rsidRPr="007740F9">
        <w:t>outcomes,</w:t>
      </w:r>
      <w:r w:rsidRPr="007740F9">
        <w:rPr>
          <w:spacing w:val="-6"/>
        </w:rPr>
        <w:t xml:space="preserve"> </w:t>
      </w:r>
      <w:r w:rsidRPr="007740F9">
        <w:t>we</w:t>
      </w:r>
      <w:r w:rsidRPr="007740F9">
        <w:rPr>
          <w:spacing w:val="-6"/>
        </w:rPr>
        <w:t xml:space="preserve"> </w:t>
      </w:r>
      <w:r w:rsidRPr="007740F9">
        <w:t>need</w:t>
      </w:r>
      <w:r w:rsidRPr="007740F9">
        <w:rPr>
          <w:spacing w:val="-5"/>
        </w:rPr>
        <w:t xml:space="preserve"> </w:t>
      </w:r>
      <w:r w:rsidRPr="007740F9">
        <w:t>a</w:t>
      </w:r>
      <w:r w:rsidRPr="007740F9">
        <w:rPr>
          <w:spacing w:val="-6"/>
        </w:rPr>
        <w:t xml:space="preserve"> </w:t>
      </w:r>
      <w:r w:rsidRPr="007740F9">
        <w:t>strong</w:t>
      </w:r>
      <w:r w:rsidRPr="007740F9">
        <w:rPr>
          <w:spacing w:val="-5"/>
        </w:rPr>
        <w:t xml:space="preserve"> </w:t>
      </w:r>
      <w:r w:rsidRPr="007740F9">
        <w:t>focus</w:t>
      </w:r>
      <w:r w:rsidRPr="007740F9">
        <w:rPr>
          <w:spacing w:val="-6"/>
        </w:rPr>
        <w:t xml:space="preserve"> </w:t>
      </w:r>
      <w:r w:rsidRPr="007740F9">
        <w:t>on</w:t>
      </w:r>
      <w:r w:rsidRPr="007740F9">
        <w:rPr>
          <w:spacing w:val="-5"/>
        </w:rPr>
        <w:t xml:space="preserve"> </w:t>
      </w:r>
      <w:r w:rsidRPr="007740F9">
        <w:t>prevention.</w:t>
      </w:r>
    </w:p>
    <w:p w14:paraId="1F290FD5" w14:textId="77777777" w:rsidR="007740F9" w:rsidRPr="007740F9" w:rsidRDefault="007740F9" w:rsidP="007740F9"/>
    <w:p w14:paraId="055126EA" w14:textId="77777777" w:rsidR="007740F9" w:rsidRPr="007740F9" w:rsidRDefault="007740F9" w:rsidP="007740F9">
      <w:r w:rsidRPr="007740F9">
        <w:t>There</w:t>
      </w:r>
      <w:r w:rsidRPr="007740F9">
        <w:rPr>
          <w:spacing w:val="2"/>
        </w:rPr>
        <w:t xml:space="preserve"> </w:t>
      </w:r>
      <w:r w:rsidRPr="007740F9">
        <w:t>have</w:t>
      </w:r>
      <w:r w:rsidRPr="007740F9">
        <w:rPr>
          <w:spacing w:val="3"/>
        </w:rPr>
        <w:t xml:space="preserve"> </w:t>
      </w:r>
      <w:r w:rsidRPr="007740F9">
        <w:t>been</w:t>
      </w:r>
      <w:r w:rsidRPr="007740F9">
        <w:rPr>
          <w:spacing w:val="3"/>
        </w:rPr>
        <w:t xml:space="preserve"> </w:t>
      </w:r>
      <w:r w:rsidRPr="007740F9">
        <w:t>many</w:t>
      </w:r>
      <w:r w:rsidRPr="007740F9">
        <w:rPr>
          <w:spacing w:val="2"/>
        </w:rPr>
        <w:t xml:space="preserve"> </w:t>
      </w:r>
      <w:r w:rsidRPr="007740F9">
        <w:t>significant</w:t>
      </w:r>
      <w:r w:rsidRPr="007740F9">
        <w:rPr>
          <w:spacing w:val="3"/>
        </w:rPr>
        <w:t xml:space="preserve"> </w:t>
      </w:r>
      <w:r w:rsidRPr="007740F9">
        <w:t>and</w:t>
      </w:r>
      <w:r w:rsidRPr="007740F9">
        <w:rPr>
          <w:spacing w:val="3"/>
        </w:rPr>
        <w:t xml:space="preserve"> </w:t>
      </w:r>
      <w:r w:rsidRPr="007740F9">
        <w:t>successful</w:t>
      </w:r>
      <w:r w:rsidRPr="007740F9">
        <w:rPr>
          <w:spacing w:val="2"/>
        </w:rPr>
        <w:t xml:space="preserve"> </w:t>
      </w:r>
      <w:r w:rsidRPr="007740F9">
        <w:t>achievements</w:t>
      </w:r>
      <w:r w:rsidRPr="007740F9">
        <w:rPr>
          <w:spacing w:val="3"/>
        </w:rPr>
        <w:t xml:space="preserve"> </w:t>
      </w:r>
      <w:r w:rsidRPr="007740F9">
        <w:t>in</w:t>
      </w:r>
      <w:r w:rsidRPr="007740F9">
        <w:rPr>
          <w:spacing w:val="3"/>
        </w:rPr>
        <w:t xml:space="preserve"> </w:t>
      </w:r>
      <w:r w:rsidRPr="007740F9">
        <w:t>cancer</w:t>
      </w:r>
      <w:r w:rsidRPr="007740F9">
        <w:rPr>
          <w:spacing w:val="2"/>
        </w:rPr>
        <w:t xml:space="preserve"> </w:t>
      </w:r>
      <w:r w:rsidRPr="007740F9">
        <w:t>prevention</w:t>
      </w:r>
      <w:r w:rsidRPr="007740F9">
        <w:rPr>
          <w:spacing w:val="3"/>
        </w:rPr>
        <w:t xml:space="preserve"> </w:t>
      </w:r>
      <w:r w:rsidRPr="007740F9">
        <w:t>in</w:t>
      </w:r>
      <w:r w:rsidRPr="007740F9">
        <w:rPr>
          <w:spacing w:val="3"/>
        </w:rPr>
        <w:t xml:space="preserve"> </w:t>
      </w:r>
      <w:r w:rsidRPr="007740F9">
        <w:t>Aotearo</w:t>
      </w:r>
      <w:r w:rsidR="00E6746A">
        <w:t xml:space="preserve">a </w:t>
      </w:r>
      <w:r w:rsidRPr="007740F9">
        <w:t>and</w:t>
      </w:r>
      <w:r w:rsidRPr="007740F9">
        <w:rPr>
          <w:spacing w:val="7"/>
        </w:rPr>
        <w:t xml:space="preserve"> </w:t>
      </w:r>
      <w:r w:rsidRPr="007740F9">
        <w:t>I</w:t>
      </w:r>
      <w:r w:rsidRPr="007740F9">
        <w:rPr>
          <w:spacing w:val="7"/>
        </w:rPr>
        <w:t xml:space="preserve"> </w:t>
      </w:r>
      <w:r w:rsidRPr="007740F9">
        <w:t>would</w:t>
      </w:r>
      <w:r w:rsidRPr="007740F9">
        <w:rPr>
          <w:spacing w:val="7"/>
        </w:rPr>
        <w:t xml:space="preserve"> </w:t>
      </w:r>
      <w:r w:rsidRPr="007740F9">
        <w:t>like</w:t>
      </w:r>
      <w:r w:rsidRPr="007740F9">
        <w:rPr>
          <w:spacing w:val="8"/>
        </w:rPr>
        <w:t xml:space="preserve"> </w:t>
      </w:r>
      <w:r w:rsidRPr="007740F9">
        <w:t>to</w:t>
      </w:r>
      <w:r w:rsidRPr="007740F9">
        <w:rPr>
          <w:spacing w:val="7"/>
        </w:rPr>
        <w:t xml:space="preserve"> </w:t>
      </w:r>
      <w:r w:rsidRPr="007740F9">
        <w:t>acknowledge</w:t>
      </w:r>
      <w:r w:rsidRPr="007740F9">
        <w:rPr>
          <w:spacing w:val="7"/>
        </w:rPr>
        <w:t xml:space="preserve"> </w:t>
      </w:r>
      <w:r w:rsidRPr="007740F9">
        <w:t>all</w:t>
      </w:r>
      <w:r w:rsidRPr="007740F9">
        <w:rPr>
          <w:spacing w:val="8"/>
        </w:rPr>
        <w:t xml:space="preserve"> </w:t>
      </w:r>
      <w:r w:rsidRPr="007740F9">
        <w:t>the</w:t>
      </w:r>
      <w:r w:rsidRPr="007740F9">
        <w:rPr>
          <w:spacing w:val="7"/>
        </w:rPr>
        <w:t xml:space="preserve"> </w:t>
      </w:r>
      <w:r w:rsidRPr="007740F9">
        <w:t>agencies,</w:t>
      </w:r>
      <w:r w:rsidRPr="007740F9">
        <w:rPr>
          <w:spacing w:val="7"/>
        </w:rPr>
        <w:t xml:space="preserve"> </w:t>
      </w:r>
      <w:r w:rsidRPr="007740F9">
        <w:t>organisations</w:t>
      </w:r>
      <w:r w:rsidRPr="007740F9">
        <w:rPr>
          <w:spacing w:val="7"/>
        </w:rPr>
        <w:t xml:space="preserve"> </w:t>
      </w:r>
      <w:r w:rsidRPr="007740F9">
        <w:t>and</w:t>
      </w:r>
      <w:r w:rsidRPr="007740F9">
        <w:rPr>
          <w:spacing w:val="8"/>
        </w:rPr>
        <w:t xml:space="preserve"> </w:t>
      </w:r>
      <w:r w:rsidRPr="007740F9">
        <w:t>individuals</w:t>
      </w:r>
      <w:r w:rsidRPr="007740F9">
        <w:rPr>
          <w:spacing w:val="7"/>
        </w:rPr>
        <w:t xml:space="preserve"> </w:t>
      </w:r>
      <w:r w:rsidRPr="007740F9">
        <w:t>who</w:t>
      </w:r>
      <w:r w:rsidRPr="007740F9">
        <w:rPr>
          <w:spacing w:val="7"/>
        </w:rPr>
        <w:t xml:space="preserve"> </w:t>
      </w:r>
      <w:r w:rsidRPr="007740F9">
        <w:t>work</w:t>
      </w:r>
      <w:r w:rsidRPr="007740F9">
        <w:rPr>
          <w:spacing w:val="8"/>
        </w:rPr>
        <w:t xml:space="preserve"> </w:t>
      </w:r>
      <w:r w:rsidRPr="007740F9">
        <w:t>so</w:t>
      </w:r>
      <w:r w:rsidRPr="007740F9">
        <w:rPr>
          <w:spacing w:val="1"/>
        </w:rPr>
        <w:t xml:space="preserve"> </w:t>
      </w:r>
      <w:r w:rsidRPr="007740F9">
        <w:t>hard</w:t>
      </w:r>
      <w:r w:rsidRPr="007740F9">
        <w:rPr>
          <w:spacing w:val="-3"/>
        </w:rPr>
        <w:t xml:space="preserve"> </w:t>
      </w:r>
      <w:r w:rsidRPr="007740F9">
        <w:t>in</w:t>
      </w:r>
      <w:r w:rsidRPr="007740F9">
        <w:rPr>
          <w:spacing w:val="-2"/>
        </w:rPr>
        <w:t xml:space="preserve"> </w:t>
      </w:r>
      <w:r w:rsidRPr="007740F9">
        <w:t>this</w:t>
      </w:r>
      <w:r w:rsidRPr="007740F9">
        <w:rPr>
          <w:spacing w:val="-3"/>
        </w:rPr>
        <w:t xml:space="preserve"> </w:t>
      </w:r>
      <w:r w:rsidRPr="007740F9">
        <w:t>space.</w:t>
      </w:r>
      <w:r w:rsidRPr="007740F9">
        <w:rPr>
          <w:spacing w:val="-2"/>
        </w:rPr>
        <w:t xml:space="preserve"> </w:t>
      </w:r>
      <w:r w:rsidRPr="007740F9">
        <w:t>I</w:t>
      </w:r>
      <w:r w:rsidRPr="007740F9">
        <w:rPr>
          <w:spacing w:val="-3"/>
        </w:rPr>
        <w:t xml:space="preserve"> </w:t>
      </w:r>
      <w:r w:rsidRPr="007740F9">
        <w:t>hope</w:t>
      </w:r>
      <w:r w:rsidRPr="007740F9">
        <w:rPr>
          <w:spacing w:val="-2"/>
        </w:rPr>
        <w:t xml:space="preserve"> </w:t>
      </w:r>
      <w:r w:rsidRPr="007740F9">
        <w:t>you</w:t>
      </w:r>
      <w:r w:rsidRPr="007740F9">
        <w:rPr>
          <w:spacing w:val="-3"/>
        </w:rPr>
        <w:t xml:space="preserve"> </w:t>
      </w:r>
      <w:r w:rsidRPr="007740F9">
        <w:t>find</w:t>
      </w:r>
      <w:r w:rsidRPr="007740F9">
        <w:rPr>
          <w:spacing w:val="-2"/>
        </w:rPr>
        <w:t xml:space="preserve"> </w:t>
      </w:r>
      <w:r w:rsidRPr="007740F9">
        <w:t>this</w:t>
      </w:r>
      <w:r w:rsidRPr="007740F9">
        <w:rPr>
          <w:spacing w:val="-3"/>
        </w:rPr>
        <w:t xml:space="preserve"> </w:t>
      </w:r>
      <w:r w:rsidRPr="007740F9">
        <w:t>report</w:t>
      </w:r>
      <w:r w:rsidRPr="007740F9">
        <w:rPr>
          <w:spacing w:val="-2"/>
        </w:rPr>
        <w:t xml:space="preserve"> </w:t>
      </w:r>
      <w:r w:rsidRPr="007740F9">
        <w:t>useful.</w:t>
      </w:r>
      <w:r w:rsidRPr="007740F9">
        <w:rPr>
          <w:spacing w:val="-2"/>
        </w:rPr>
        <w:t xml:space="preserve"> </w:t>
      </w:r>
      <w:r w:rsidRPr="007740F9">
        <w:t>The</w:t>
      </w:r>
      <w:r w:rsidRPr="007740F9">
        <w:rPr>
          <w:spacing w:val="-3"/>
        </w:rPr>
        <w:t xml:space="preserve"> </w:t>
      </w:r>
      <w:r w:rsidRPr="007740F9">
        <w:t>aim</w:t>
      </w:r>
      <w:r w:rsidRPr="007740F9">
        <w:rPr>
          <w:spacing w:val="-2"/>
        </w:rPr>
        <w:t xml:space="preserve"> </w:t>
      </w:r>
      <w:r w:rsidRPr="007740F9">
        <w:t>is</w:t>
      </w:r>
      <w:r w:rsidRPr="007740F9">
        <w:rPr>
          <w:spacing w:val="-3"/>
        </w:rPr>
        <w:t xml:space="preserve"> </w:t>
      </w:r>
      <w:r w:rsidRPr="007740F9">
        <w:t>that</w:t>
      </w:r>
      <w:r w:rsidRPr="007740F9">
        <w:rPr>
          <w:spacing w:val="-2"/>
        </w:rPr>
        <w:t xml:space="preserve"> </w:t>
      </w:r>
      <w:r w:rsidRPr="007740F9">
        <w:t>this</w:t>
      </w:r>
      <w:r w:rsidRPr="007740F9">
        <w:rPr>
          <w:spacing w:val="-3"/>
        </w:rPr>
        <w:t xml:space="preserve"> </w:t>
      </w:r>
      <w:r w:rsidRPr="007740F9">
        <w:t>report</w:t>
      </w:r>
      <w:r w:rsidRPr="007740F9">
        <w:rPr>
          <w:spacing w:val="-2"/>
        </w:rPr>
        <w:t xml:space="preserve"> </w:t>
      </w:r>
      <w:r w:rsidRPr="007740F9">
        <w:t>identifies</w:t>
      </w:r>
      <w:r w:rsidRPr="007740F9">
        <w:rPr>
          <w:spacing w:val="-3"/>
        </w:rPr>
        <w:t xml:space="preserve"> </w:t>
      </w:r>
      <w:r w:rsidRPr="007740F9">
        <w:t>furthe</w:t>
      </w:r>
      <w:r w:rsidR="00E6746A">
        <w:t xml:space="preserve">r </w:t>
      </w:r>
      <w:r w:rsidRPr="007740F9">
        <w:t>opportunities</w:t>
      </w:r>
      <w:r w:rsidRPr="007740F9">
        <w:rPr>
          <w:spacing w:val="-3"/>
        </w:rPr>
        <w:t xml:space="preserve"> </w:t>
      </w:r>
      <w:r w:rsidRPr="007740F9">
        <w:t>to</w:t>
      </w:r>
      <w:r w:rsidRPr="007740F9">
        <w:rPr>
          <w:spacing w:val="-2"/>
        </w:rPr>
        <w:t xml:space="preserve"> </w:t>
      </w:r>
      <w:r w:rsidRPr="007740F9">
        <w:t>make</w:t>
      </w:r>
      <w:r w:rsidRPr="007740F9">
        <w:rPr>
          <w:spacing w:val="-3"/>
        </w:rPr>
        <w:t xml:space="preserve"> </w:t>
      </w:r>
      <w:r w:rsidRPr="007740F9">
        <w:t>even</w:t>
      </w:r>
      <w:r w:rsidRPr="007740F9">
        <w:rPr>
          <w:spacing w:val="-2"/>
        </w:rPr>
        <w:t xml:space="preserve"> </w:t>
      </w:r>
      <w:r w:rsidRPr="007740F9">
        <w:t>greater</w:t>
      </w:r>
      <w:r w:rsidRPr="007740F9">
        <w:rPr>
          <w:spacing w:val="-3"/>
        </w:rPr>
        <w:t xml:space="preserve"> </w:t>
      </w:r>
      <w:r w:rsidRPr="007740F9">
        <w:t>gains</w:t>
      </w:r>
      <w:r w:rsidRPr="007740F9">
        <w:rPr>
          <w:spacing w:val="-2"/>
        </w:rPr>
        <w:t xml:space="preserve"> </w:t>
      </w:r>
      <w:r w:rsidRPr="007740F9">
        <w:t>in</w:t>
      </w:r>
      <w:r w:rsidRPr="007740F9">
        <w:rPr>
          <w:spacing w:val="-3"/>
        </w:rPr>
        <w:t xml:space="preserve"> </w:t>
      </w:r>
      <w:r w:rsidRPr="007740F9">
        <w:t>preventing</w:t>
      </w:r>
      <w:r w:rsidRPr="007740F9">
        <w:rPr>
          <w:spacing w:val="-2"/>
        </w:rPr>
        <w:t xml:space="preserve"> </w:t>
      </w:r>
      <w:r w:rsidRPr="007740F9">
        <w:t>cancer</w:t>
      </w:r>
      <w:r w:rsidRPr="007740F9">
        <w:rPr>
          <w:spacing w:val="-3"/>
        </w:rPr>
        <w:t xml:space="preserve"> </w:t>
      </w:r>
      <w:r w:rsidRPr="007740F9">
        <w:t>and</w:t>
      </w:r>
      <w:r w:rsidRPr="007740F9">
        <w:rPr>
          <w:spacing w:val="-2"/>
        </w:rPr>
        <w:t xml:space="preserve"> </w:t>
      </w:r>
      <w:r w:rsidRPr="007740F9">
        <w:t>supports</w:t>
      </w:r>
      <w:r w:rsidRPr="007740F9">
        <w:rPr>
          <w:spacing w:val="-3"/>
        </w:rPr>
        <w:t xml:space="preserve"> </w:t>
      </w:r>
      <w:r w:rsidRPr="007740F9">
        <w:t>your</w:t>
      </w:r>
      <w:r w:rsidRPr="007740F9">
        <w:rPr>
          <w:spacing w:val="-2"/>
        </w:rPr>
        <w:t xml:space="preserve"> </w:t>
      </w:r>
      <w:r w:rsidRPr="007740F9">
        <w:t>efforts.</w:t>
      </w:r>
    </w:p>
    <w:p w14:paraId="154E8BE5" w14:textId="77777777" w:rsidR="007740F9" w:rsidRPr="007740F9" w:rsidRDefault="007740F9" w:rsidP="007740F9"/>
    <w:p w14:paraId="01597C1B" w14:textId="77777777" w:rsidR="007740F9" w:rsidRPr="007740F9" w:rsidRDefault="007740F9" w:rsidP="007740F9">
      <w:r w:rsidRPr="007740F9">
        <w:t>My thanks to all those who worked together to make this report a reality: our partners Te Hiringa</w:t>
      </w:r>
      <w:r w:rsidRPr="007740F9">
        <w:rPr>
          <w:spacing w:val="1"/>
        </w:rPr>
        <w:t xml:space="preserve"> </w:t>
      </w:r>
      <w:r w:rsidRPr="007740F9">
        <w:t>Hauora</w:t>
      </w:r>
      <w:r w:rsidR="00E6746A">
        <w:t xml:space="preserve"> </w:t>
      </w:r>
      <w:r w:rsidRPr="007740F9">
        <w:t>|</w:t>
      </w:r>
      <w:r w:rsidR="00E6746A">
        <w:t xml:space="preserve"> </w:t>
      </w:r>
      <w:r w:rsidRPr="007740F9">
        <w:t>Health Promotion Agency and the University of Otago Wellington, Hei Āhuru Mōwai, He Ar</w:t>
      </w:r>
      <w:r w:rsidR="00E6746A">
        <w:t xml:space="preserve">a </w:t>
      </w:r>
      <w:r w:rsidRPr="007740F9">
        <w:t>Tangata,</w:t>
      </w:r>
      <w:r w:rsidRPr="007740F9">
        <w:rPr>
          <w:spacing w:val="-3"/>
        </w:rPr>
        <w:t xml:space="preserve"> </w:t>
      </w:r>
      <w:r w:rsidRPr="007740F9">
        <w:t>our</w:t>
      </w:r>
      <w:r w:rsidRPr="007740F9">
        <w:rPr>
          <w:spacing w:val="-3"/>
        </w:rPr>
        <w:t xml:space="preserve"> </w:t>
      </w:r>
      <w:r w:rsidRPr="007740F9">
        <w:t>Ministry</w:t>
      </w:r>
      <w:r w:rsidRPr="007740F9">
        <w:rPr>
          <w:spacing w:val="-3"/>
        </w:rPr>
        <w:t xml:space="preserve"> </w:t>
      </w:r>
      <w:r w:rsidRPr="007740F9">
        <w:t>of</w:t>
      </w:r>
      <w:r w:rsidRPr="007740F9">
        <w:rPr>
          <w:spacing w:val="-2"/>
        </w:rPr>
        <w:t xml:space="preserve"> </w:t>
      </w:r>
      <w:r w:rsidRPr="007740F9">
        <w:t>Health</w:t>
      </w:r>
      <w:r w:rsidRPr="007740F9">
        <w:rPr>
          <w:spacing w:val="-3"/>
        </w:rPr>
        <w:t xml:space="preserve"> </w:t>
      </w:r>
      <w:r w:rsidRPr="007740F9">
        <w:t>colleagues,</w:t>
      </w:r>
      <w:r w:rsidRPr="007740F9">
        <w:rPr>
          <w:spacing w:val="-3"/>
        </w:rPr>
        <w:t xml:space="preserve"> </w:t>
      </w:r>
      <w:r w:rsidRPr="007740F9">
        <w:t>the</w:t>
      </w:r>
      <w:r w:rsidRPr="007740F9">
        <w:rPr>
          <w:spacing w:val="-3"/>
        </w:rPr>
        <w:t xml:space="preserve"> </w:t>
      </w:r>
      <w:r w:rsidRPr="007740F9">
        <w:t>Cancer</w:t>
      </w:r>
      <w:r w:rsidRPr="007740F9">
        <w:rPr>
          <w:spacing w:val="-2"/>
        </w:rPr>
        <w:t xml:space="preserve"> </w:t>
      </w:r>
      <w:proofErr w:type="gramStart"/>
      <w:r w:rsidRPr="007740F9">
        <w:t>Society</w:t>
      </w:r>
      <w:proofErr w:type="gramEnd"/>
      <w:r w:rsidRPr="007740F9">
        <w:rPr>
          <w:spacing w:val="-3"/>
        </w:rPr>
        <w:t xml:space="preserve"> </w:t>
      </w:r>
      <w:r w:rsidRPr="007740F9">
        <w:t>and</w:t>
      </w:r>
      <w:r w:rsidRPr="007740F9">
        <w:rPr>
          <w:spacing w:val="-3"/>
        </w:rPr>
        <w:t xml:space="preserve"> </w:t>
      </w:r>
      <w:r w:rsidRPr="007740F9">
        <w:t>a</w:t>
      </w:r>
      <w:r w:rsidRPr="007740F9">
        <w:rPr>
          <w:spacing w:val="-3"/>
        </w:rPr>
        <w:t xml:space="preserve"> </w:t>
      </w:r>
      <w:r w:rsidRPr="007740F9">
        <w:t>range</w:t>
      </w:r>
      <w:r w:rsidRPr="007740F9">
        <w:rPr>
          <w:spacing w:val="-2"/>
        </w:rPr>
        <w:t xml:space="preserve"> </w:t>
      </w:r>
      <w:r w:rsidRPr="007740F9">
        <w:t>of</w:t>
      </w:r>
      <w:r w:rsidRPr="007740F9">
        <w:rPr>
          <w:spacing w:val="-3"/>
        </w:rPr>
        <w:t xml:space="preserve"> </w:t>
      </w:r>
      <w:r w:rsidRPr="007740F9">
        <w:t>experts</w:t>
      </w:r>
      <w:r w:rsidRPr="007740F9">
        <w:rPr>
          <w:spacing w:val="-3"/>
        </w:rPr>
        <w:t xml:space="preserve"> </w:t>
      </w:r>
      <w:r w:rsidRPr="007740F9">
        <w:t>who</w:t>
      </w:r>
      <w:r w:rsidRPr="007740F9">
        <w:rPr>
          <w:spacing w:val="-3"/>
        </w:rPr>
        <w:t xml:space="preserve"> </w:t>
      </w:r>
      <w:r w:rsidRPr="007740F9">
        <w:t>provide</w:t>
      </w:r>
      <w:r w:rsidR="00E6746A">
        <w:t xml:space="preserve">d </w:t>
      </w:r>
      <w:r w:rsidRPr="007740F9">
        <w:t>invaluable</w:t>
      </w:r>
      <w:r w:rsidRPr="007740F9">
        <w:rPr>
          <w:spacing w:val="-8"/>
        </w:rPr>
        <w:t xml:space="preserve"> </w:t>
      </w:r>
      <w:r w:rsidRPr="007740F9">
        <w:t>input,</w:t>
      </w:r>
      <w:r w:rsidRPr="007740F9">
        <w:rPr>
          <w:spacing w:val="-8"/>
        </w:rPr>
        <w:t xml:space="preserve"> </w:t>
      </w:r>
      <w:r w:rsidRPr="007740F9">
        <w:t>as</w:t>
      </w:r>
      <w:r w:rsidRPr="007740F9">
        <w:rPr>
          <w:spacing w:val="-8"/>
        </w:rPr>
        <w:t xml:space="preserve"> </w:t>
      </w:r>
      <w:r w:rsidRPr="007740F9">
        <w:t>well</w:t>
      </w:r>
      <w:r w:rsidRPr="007740F9">
        <w:rPr>
          <w:spacing w:val="-7"/>
        </w:rPr>
        <w:t xml:space="preserve"> </w:t>
      </w:r>
      <w:r w:rsidRPr="007740F9">
        <w:t>as</w:t>
      </w:r>
      <w:r w:rsidRPr="007740F9">
        <w:rPr>
          <w:spacing w:val="-8"/>
        </w:rPr>
        <w:t xml:space="preserve"> </w:t>
      </w:r>
      <w:r w:rsidRPr="007740F9">
        <w:t>the</w:t>
      </w:r>
      <w:r w:rsidRPr="007740F9">
        <w:rPr>
          <w:spacing w:val="-8"/>
        </w:rPr>
        <w:t xml:space="preserve"> </w:t>
      </w:r>
      <w:r w:rsidRPr="007740F9">
        <w:t>kaimahi</w:t>
      </w:r>
      <w:r w:rsidRPr="007740F9">
        <w:rPr>
          <w:spacing w:val="-8"/>
        </w:rPr>
        <w:t xml:space="preserve"> </w:t>
      </w:r>
      <w:r w:rsidRPr="007740F9">
        <w:t>of</w:t>
      </w:r>
      <w:r w:rsidRPr="007740F9">
        <w:rPr>
          <w:spacing w:val="-7"/>
        </w:rPr>
        <w:t xml:space="preserve"> </w:t>
      </w:r>
      <w:r w:rsidRPr="007740F9">
        <w:t>Te</w:t>
      </w:r>
      <w:r w:rsidRPr="007740F9">
        <w:rPr>
          <w:spacing w:val="-8"/>
        </w:rPr>
        <w:t xml:space="preserve"> </w:t>
      </w:r>
      <w:r w:rsidRPr="007740F9">
        <w:t>Aho</w:t>
      </w:r>
      <w:r w:rsidRPr="007740F9">
        <w:rPr>
          <w:spacing w:val="-8"/>
        </w:rPr>
        <w:t xml:space="preserve"> </w:t>
      </w:r>
      <w:r w:rsidRPr="007740F9">
        <w:t>o</w:t>
      </w:r>
      <w:r w:rsidRPr="007740F9">
        <w:rPr>
          <w:spacing w:val="-8"/>
        </w:rPr>
        <w:t xml:space="preserve"> </w:t>
      </w:r>
      <w:r w:rsidRPr="007740F9">
        <w:t>Te</w:t>
      </w:r>
      <w:r w:rsidRPr="007740F9">
        <w:rPr>
          <w:spacing w:val="-7"/>
        </w:rPr>
        <w:t xml:space="preserve"> </w:t>
      </w:r>
      <w:r w:rsidRPr="007740F9">
        <w:t>Kahu.</w:t>
      </w:r>
    </w:p>
    <w:p w14:paraId="60FAB5DA" w14:textId="77777777" w:rsidR="007740F9" w:rsidRPr="007740F9" w:rsidRDefault="007740F9" w:rsidP="007740F9"/>
    <w:p w14:paraId="0D1F662F" w14:textId="77777777" w:rsidR="007740F9" w:rsidRPr="007740F9" w:rsidRDefault="007740F9" w:rsidP="007740F9">
      <w:r w:rsidRPr="007740F9">
        <w:t>Finally, I would like to acknowledge all the whānau living with cancer and those who have lost loved</w:t>
      </w:r>
      <w:r w:rsidRPr="00E6746A">
        <w:t xml:space="preserve"> </w:t>
      </w:r>
      <w:r w:rsidRPr="007740F9">
        <w:t>ones to cancer. This report is our first step towards trying to prevent others having to ever set foot</w:t>
      </w:r>
      <w:r w:rsidRPr="007740F9">
        <w:rPr>
          <w:spacing w:val="1"/>
        </w:rPr>
        <w:t xml:space="preserve"> </w:t>
      </w:r>
      <w:r w:rsidRPr="007740F9">
        <w:t>on</w:t>
      </w:r>
      <w:r w:rsidRPr="007740F9">
        <w:rPr>
          <w:spacing w:val="-9"/>
        </w:rPr>
        <w:t xml:space="preserve"> </w:t>
      </w:r>
      <w:r w:rsidRPr="007740F9">
        <w:t>a</w:t>
      </w:r>
      <w:r w:rsidRPr="007740F9">
        <w:rPr>
          <w:spacing w:val="-8"/>
        </w:rPr>
        <w:t xml:space="preserve"> </w:t>
      </w:r>
      <w:r w:rsidRPr="007740F9">
        <w:t>cancer</w:t>
      </w:r>
      <w:r w:rsidRPr="007740F9">
        <w:rPr>
          <w:spacing w:val="-8"/>
        </w:rPr>
        <w:t xml:space="preserve"> </w:t>
      </w:r>
      <w:r w:rsidRPr="007740F9">
        <w:t>journey.</w:t>
      </w:r>
    </w:p>
    <w:p w14:paraId="089FCCEE" w14:textId="77777777" w:rsidR="007740F9" w:rsidRPr="007740F9" w:rsidRDefault="007740F9" w:rsidP="007740F9"/>
    <w:p w14:paraId="75856E3F" w14:textId="77777777" w:rsidR="007740F9" w:rsidRPr="007740F9" w:rsidRDefault="007740F9" w:rsidP="007740F9">
      <w:r w:rsidRPr="007740F9">
        <w:t>Mauri</w:t>
      </w:r>
      <w:r w:rsidRPr="007740F9">
        <w:rPr>
          <w:spacing w:val="-16"/>
        </w:rPr>
        <w:t xml:space="preserve"> </w:t>
      </w:r>
      <w:r w:rsidRPr="007740F9">
        <w:t>ora</w:t>
      </w:r>
    </w:p>
    <w:p w14:paraId="1AE35209" w14:textId="77777777" w:rsidR="007740F9" w:rsidRPr="007740F9" w:rsidRDefault="007740F9" w:rsidP="007740F9"/>
    <w:p w14:paraId="1DCEF385" w14:textId="77777777" w:rsidR="007740F9" w:rsidRPr="007740F9" w:rsidRDefault="007740F9" w:rsidP="007740F9">
      <w:r w:rsidRPr="007740F9">
        <w:t>Professor</w:t>
      </w:r>
      <w:r w:rsidRPr="007740F9">
        <w:rPr>
          <w:spacing w:val="6"/>
        </w:rPr>
        <w:t xml:space="preserve"> </w:t>
      </w:r>
      <w:r w:rsidRPr="007740F9">
        <w:t>Diana</w:t>
      </w:r>
      <w:r w:rsidRPr="007740F9">
        <w:rPr>
          <w:spacing w:val="6"/>
        </w:rPr>
        <w:t xml:space="preserve"> </w:t>
      </w:r>
      <w:r w:rsidRPr="007740F9">
        <w:t>Sarfati</w:t>
      </w:r>
    </w:p>
    <w:p w14:paraId="2760FD66" w14:textId="77777777" w:rsidR="00FB0A5B" w:rsidRPr="007740F9" w:rsidRDefault="007740F9" w:rsidP="007740F9">
      <w:r w:rsidRPr="007740F9">
        <w:t>Chief</w:t>
      </w:r>
      <w:r w:rsidRPr="007740F9">
        <w:rPr>
          <w:spacing w:val="-8"/>
        </w:rPr>
        <w:t xml:space="preserve"> </w:t>
      </w:r>
      <w:r w:rsidRPr="007740F9">
        <w:t>Executive</w:t>
      </w:r>
      <w:r w:rsidRPr="007740F9">
        <w:rPr>
          <w:spacing w:val="-8"/>
        </w:rPr>
        <w:t xml:space="preserve"> </w:t>
      </w:r>
      <w:r w:rsidRPr="007740F9">
        <w:t>and</w:t>
      </w:r>
      <w:r w:rsidRPr="007740F9">
        <w:rPr>
          <w:spacing w:val="-7"/>
        </w:rPr>
        <w:t xml:space="preserve"> </w:t>
      </w:r>
      <w:r w:rsidRPr="007740F9">
        <w:t>National</w:t>
      </w:r>
      <w:r w:rsidRPr="007740F9">
        <w:rPr>
          <w:spacing w:val="-8"/>
        </w:rPr>
        <w:t xml:space="preserve"> </w:t>
      </w:r>
      <w:r w:rsidRPr="007740F9">
        <w:t>Director</w:t>
      </w:r>
      <w:r w:rsidRPr="007740F9">
        <w:rPr>
          <w:spacing w:val="-8"/>
        </w:rPr>
        <w:t xml:space="preserve"> </w:t>
      </w:r>
      <w:r w:rsidRPr="007740F9">
        <w:t>of</w:t>
      </w:r>
      <w:r w:rsidRPr="007740F9">
        <w:rPr>
          <w:spacing w:val="-7"/>
        </w:rPr>
        <w:t xml:space="preserve"> </w:t>
      </w:r>
      <w:r w:rsidRPr="007740F9">
        <w:t>Cancer</w:t>
      </w:r>
      <w:r w:rsidRPr="007740F9">
        <w:rPr>
          <w:spacing w:val="-8"/>
        </w:rPr>
        <w:t xml:space="preserve"> </w:t>
      </w:r>
      <w:r w:rsidRPr="007740F9">
        <w:t>Control</w:t>
      </w:r>
      <w:r w:rsidR="00E6746A">
        <w:br/>
      </w:r>
      <w:r w:rsidRPr="007740F9">
        <w:t>Te</w:t>
      </w:r>
      <w:r w:rsidRPr="007740F9">
        <w:rPr>
          <w:spacing w:val="-10"/>
        </w:rPr>
        <w:t xml:space="preserve"> </w:t>
      </w:r>
      <w:r w:rsidRPr="007740F9">
        <w:t>Aho</w:t>
      </w:r>
      <w:r w:rsidRPr="007740F9">
        <w:rPr>
          <w:spacing w:val="-9"/>
        </w:rPr>
        <w:t xml:space="preserve"> </w:t>
      </w:r>
      <w:r w:rsidRPr="007740F9">
        <w:t>o</w:t>
      </w:r>
      <w:r w:rsidRPr="007740F9">
        <w:rPr>
          <w:spacing w:val="-9"/>
        </w:rPr>
        <w:t xml:space="preserve"> </w:t>
      </w:r>
      <w:r w:rsidRPr="007740F9">
        <w:t>Te</w:t>
      </w:r>
      <w:r w:rsidRPr="007740F9">
        <w:rPr>
          <w:spacing w:val="-9"/>
        </w:rPr>
        <w:t xml:space="preserve"> </w:t>
      </w:r>
      <w:r w:rsidRPr="007740F9">
        <w:t>Kahu,</w:t>
      </w:r>
      <w:r w:rsidRPr="007740F9">
        <w:rPr>
          <w:spacing w:val="-9"/>
        </w:rPr>
        <w:t xml:space="preserve"> </w:t>
      </w:r>
      <w:r w:rsidRPr="007740F9">
        <w:t>Cancer</w:t>
      </w:r>
      <w:r w:rsidRPr="007740F9">
        <w:rPr>
          <w:spacing w:val="-9"/>
        </w:rPr>
        <w:t xml:space="preserve"> </w:t>
      </w:r>
      <w:r w:rsidRPr="007740F9">
        <w:t>Control</w:t>
      </w:r>
      <w:r w:rsidRPr="007740F9">
        <w:rPr>
          <w:spacing w:val="-9"/>
        </w:rPr>
        <w:t xml:space="preserve"> </w:t>
      </w:r>
      <w:r w:rsidRPr="007740F9">
        <w:t>Agency</w:t>
      </w:r>
    </w:p>
    <w:p w14:paraId="4EE601DA" w14:textId="77777777" w:rsidR="00852C5D" w:rsidRPr="007740F9" w:rsidRDefault="00852C5D" w:rsidP="00414C35"/>
    <w:p w14:paraId="68E1F331" w14:textId="77777777" w:rsidR="007740F9" w:rsidRDefault="0000534D" w:rsidP="0000534D">
      <w:pPr>
        <w:pStyle w:val="Heading1"/>
      </w:pPr>
      <w:bookmarkStart w:id="4" w:name="_Toc95742637"/>
      <w:r>
        <w:rPr>
          <w:color w:val="20473C"/>
          <w:w w:val="105"/>
        </w:rPr>
        <w:lastRenderedPageBreak/>
        <w:t>Ngā Mihi</w:t>
      </w:r>
      <w:r>
        <w:rPr>
          <w:color w:val="20473C"/>
          <w:w w:val="105"/>
        </w:rPr>
        <w:br/>
      </w:r>
      <w:r w:rsidRPr="0000534D">
        <w:rPr>
          <w:color w:val="22B893"/>
        </w:rPr>
        <w:t>Acknowledgements</w:t>
      </w:r>
      <w:bookmarkEnd w:id="4"/>
    </w:p>
    <w:p w14:paraId="3F3B8753" w14:textId="77777777" w:rsidR="007740F9" w:rsidRDefault="007740F9" w:rsidP="007740F9">
      <w:r>
        <w:t>We would like to firstly acknowledge our partners Te Hiringa Hauora</w:t>
      </w:r>
      <w:r w:rsidR="00E6746A">
        <w:t xml:space="preserve"> </w:t>
      </w:r>
      <w:r>
        <w:t>|</w:t>
      </w:r>
      <w:r w:rsidR="00E6746A">
        <w:t xml:space="preserve"> </w:t>
      </w:r>
      <w:r>
        <w:t>Health Promotion Agency</w:t>
      </w:r>
      <w:r>
        <w:rPr>
          <w:spacing w:val="1"/>
        </w:rPr>
        <w:t xml:space="preserve"> </w:t>
      </w:r>
      <w:r>
        <w:t>and University</w:t>
      </w:r>
      <w:r>
        <w:rPr>
          <w:spacing w:val="1"/>
        </w:rPr>
        <w:t xml:space="preserve"> </w:t>
      </w:r>
      <w:r>
        <w:t>of Otago,</w:t>
      </w:r>
      <w:r>
        <w:rPr>
          <w:spacing w:val="1"/>
        </w:rPr>
        <w:t xml:space="preserve"> </w:t>
      </w:r>
      <w:r>
        <w:t>Wellington who</w:t>
      </w:r>
      <w:r>
        <w:rPr>
          <w:spacing w:val="1"/>
        </w:rPr>
        <w:t xml:space="preserve"> </w:t>
      </w:r>
      <w:r>
        <w:t>supported the</w:t>
      </w:r>
      <w:r>
        <w:rPr>
          <w:spacing w:val="1"/>
        </w:rPr>
        <w:t xml:space="preserve"> </w:t>
      </w:r>
      <w:r>
        <w:t>collaborative development</w:t>
      </w:r>
      <w:r>
        <w:rPr>
          <w:spacing w:val="1"/>
        </w:rPr>
        <w:t xml:space="preserve"> </w:t>
      </w:r>
      <w:r>
        <w:t>of the</w:t>
      </w:r>
      <w:r>
        <w:rPr>
          <w:spacing w:val="1"/>
        </w:rPr>
        <w:t xml:space="preserve"> </w:t>
      </w:r>
      <w:r>
        <w:t>Cance</w:t>
      </w:r>
      <w:r w:rsidR="00E6746A">
        <w:t xml:space="preserve">r </w:t>
      </w:r>
      <w:r>
        <w:t>Prevention</w:t>
      </w:r>
      <w:r>
        <w:rPr>
          <w:spacing w:val="-9"/>
        </w:rPr>
        <w:t xml:space="preserve"> </w:t>
      </w:r>
      <w:r>
        <w:t>Report.</w:t>
      </w:r>
    </w:p>
    <w:p w14:paraId="69C363E6" w14:textId="77777777" w:rsidR="007740F9" w:rsidRDefault="007740F9" w:rsidP="007740F9"/>
    <w:p w14:paraId="07DC6C37" w14:textId="77777777" w:rsidR="007740F9" w:rsidRDefault="007740F9" w:rsidP="007740F9">
      <w:r>
        <w:t>We take this opportunity to acknowledge Hei Āhuru Mōwai, Māori Cancer Leadership Group,</w:t>
      </w:r>
      <w:r>
        <w:rPr>
          <w:spacing w:val="1"/>
        </w:rPr>
        <w:t xml:space="preserve"> </w:t>
      </w:r>
      <w:r>
        <w:t>who</w:t>
      </w:r>
      <w:r>
        <w:rPr>
          <w:spacing w:val="3"/>
        </w:rPr>
        <w:t xml:space="preserve"> </w:t>
      </w:r>
      <w:r>
        <w:t>have</w:t>
      </w:r>
      <w:r>
        <w:rPr>
          <w:spacing w:val="4"/>
        </w:rPr>
        <w:t xml:space="preserve"> </w:t>
      </w:r>
      <w:r>
        <w:t>provided</w:t>
      </w:r>
      <w:r>
        <w:rPr>
          <w:spacing w:val="3"/>
        </w:rPr>
        <w:t xml:space="preserve"> </w:t>
      </w:r>
      <w:r>
        <w:t>considerable</w:t>
      </w:r>
      <w:r>
        <w:rPr>
          <w:spacing w:val="4"/>
        </w:rPr>
        <w:t xml:space="preserve"> </w:t>
      </w:r>
      <w:r>
        <w:t>thought</w:t>
      </w:r>
      <w:r>
        <w:rPr>
          <w:spacing w:val="3"/>
        </w:rPr>
        <w:t xml:space="preserve"> </w:t>
      </w:r>
      <w:r>
        <w:t>and</w:t>
      </w:r>
      <w:r>
        <w:rPr>
          <w:spacing w:val="4"/>
        </w:rPr>
        <w:t xml:space="preserve"> </w:t>
      </w:r>
      <w:r>
        <w:t>input</w:t>
      </w:r>
      <w:r>
        <w:rPr>
          <w:spacing w:val="3"/>
        </w:rPr>
        <w:t xml:space="preserve"> </w:t>
      </w:r>
      <w:r>
        <w:t>to</w:t>
      </w:r>
      <w:r>
        <w:rPr>
          <w:spacing w:val="4"/>
        </w:rPr>
        <w:t xml:space="preserve"> </w:t>
      </w:r>
      <w:r>
        <w:t>this</w:t>
      </w:r>
      <w:r>
        <w:rPr>
          <w:spacing w:val="3"/>
        </w:rPr>
        <w:t xml:space="preserve"> </w:t>
      </w:r>
      <w:r>
        <w:t>report.</w:t>
      </w:r>
      <w:r>
        <w:rPr>
          <w:spacing w:val="4"/>
        </w:rPr>
        <w:t xml:space="preserve"> </w:t>
      </w:r>
      <w:r>
        <w:t>We</w:t>
      </w:r>
      <w:r>
        <w:rPr>
          <w:spacing w:val="3"/>
        </w:rPr>
        <w:t xml:space="preserve"> </w:t>
      </w:r>
      <w:r>
        <w:t>also</w:t>
      </w:r>
      <w:r>
        <w:rPr>
          <w:spacing w:val="4"/>
        </w:rPr>
        <w:t xml:space="preserve"> </w:t>
      </w:r>
      <w:r>
        <w:t>thank</w:t>
      </w:r>
      <w:r>
        <w:rPr>
          <w:spacing w:val="3"/>
        </w:rPr>
        <w:t xml:space="preserve"> </w:t>
      </w:r>
      <w:r>
        <w:t>members</w:t>
      </w:r>
      <w:r>
        <w:rPr>
          <w:spacing w:val="4"/>
        </w:rPr>
        <w:t xml:space="preserve"> </w:t>
      </w:r>
      <w:r>
        <w:t>of</w:t>
      </w:r>
      <w:r>
        <w:rPr>
          <w:spacing w:val="1"/>
        </w:rPr>
        <w:t xml:space="preserve"> </w:t>
      </w:r>
      <w:proofErr w:type="spellStart"/>
      <w:r>
        <w:t>He</w:t>
      </w:r>
      <w:proofErr w:type="spellEnd"/>
      <w:r>
        <w:rPr>
          <w:spacing w:val="-6"/>
        </w:rPr>
        <w:t xml:space="preserve"> </w:t>
      </w:r>
      <w:r>
        <w:t>Ara</w:t>
      </w:r>
      <w:r>
        <w:rPr>
          <w:spacing w:val="-6"/>
        </w:rPr>
        <w:t xml:space="preserve"> </w:t>
      </w:r>
      <w:r>
        <w:t>Tangata,</w:t>
      </w:r>
      <w:r>
        <w:rPr>
          <w:spacing w:val="-6"/>
        </w:rPr>
        <w:t xml:space="preserve"> </w:t>
      </w:r>
      <w:r>
        <w:t>our</w:t>
      </w:r>
      <w:r>
        <w:rPr>
          <w:spacing w:val="-6"/>
        </w:rPr>
        <w:t xml:space="preserve"> </w:t>
      </w:r>
      <w:r>
        <w:t>consumer</w:t>
      </w:r>
      <w:r>
        <w:rPr>
          <w:spacing w:val="-6"/>
        </w:rPr>
        <w:t xml:space="preserve"> </w:t>
      </w:r>
      <w:r>
        <w:t>reference</w:t>
      </w:r>
      <w:r>
        <w:rPr>
          <w:spacing w:val="-6"/>
        </w:rPr>
        <w:t xml:space="preserve"> </w:t>
      </w:r>
      <w:r>
        <w:t>group,</w:t>
      </w:r>
      <w:r>
        <w:rPr>
          <w:spacing w:val="-6"/>
        </w:rPr>
        <w:t xml:space="preserve"> </w:t>
      </w:r>
      <w:r>
        <w:t>for</w:t>
      </w:r>
      <w:r>
        <w:rPr>
          <w:spacing w:val="-6"/>
        </w:rPr>
        <w:t xml:space="preserve"> </w:t>
      </w:r>
      <w:r>
        <w:t>their</w:t>
      </w:r>
      <w:r>
        <w:rPr>
          <w:spacing w:val="-6"/>
        </w:rPr>
        <w:t xml:space="preserve"> </w:t>
      </w:r>
      <w:r>
        <w:t>valuable</w:t>
      </w:r>
      <w:r>
        <w:rPr>
          <w:spacing w:val="-6"/>
        </w:rPr>
        <w:t xml:space="preserve"> </w:t>
      </w:r>
      <w:r>
        <w:t>input</w:t>
      </w:r>
      <w:r>
        <w:rPr>
          <w:spacing w:val="-6"/>
        </w:rPr>
        <w:t xml:space="preserve"> </w:t>
      </w:r>
      <w:r>
        <w:t>from</w:t>
      </w:r>
      <w:r>
        <w:rPr>
          <w:spacing w:val="-6"/>
        </w:rPr>
        <w:t xml:space="preserve"> </w:t>
      </w:r>
      <w:r>
        <w:t>a</w:t>
      </w:r>
      <w:r>
        <w:rPr>
          <w:spacing w:val="-6"/>
        </w:rPr>
        <w:t xml:space="preserve"> </w:t>
      </w:r>
      <w:r>
        <w:t>lived-experience</w:t>
      </w:r>
      <w:r w:rsidRPr="00E6746A">
        <w:t xml:space="preserve"> </w:t>
      </w:r>
      <w:r>
        <w:t>perspective.</w:t>
      </w:r>
    </w:p>
    <w:p w14:paraId="2E301E8C" w14:textId="77777777" w:rsidR="007740F9" w:rsidRDefault="007740F9" w:rsidP="007740F9"/>
    <w:p w14:paraId="0710ACEA" w14:textId="77777777" w:rsidR="007740F9" w:rsidRDefault="007740F9" w:rsidP="007740F9">
      <w:r>
        <w:t>Thank you also to all those who contributed their time and expertise in reviewing drafts of the report:</w:t>
      </w:r>
    </w:p>
    <w:p w14:paraId="25C64E7F" w14:textId="77777777" w:rsidR="007740F9" w:rsidRDefault="007740F9" w:rsidP="007740F9"/>
    <w:p w14:paraId="43BE2E89" w14:textId="77777777" w:rsidR="007740F9" w:rsidRDefault="007740F9" w:rsidP="007740F9">
      <w:r>
        <w:t>Ministry</w:t>
      </w:r>
      <w:r>
        <w:rPr>
          <w:spacing w:val="-5"/>
        </w:rPr>
        <w:t xml:space="preserve"> </w:t>
      </w:r>
      <w:r>
        <w:t>of</w:t>
      </w:r>
      <w:r>
        <w:rPr>
          <w:spacing w:val="-5"/>
        </w:rPr>
        <w:t xml:space="preserve"> </w:t>
      </w:r>
      <w:r>
        <w:t>Health;</w:t>
      </w:r>
      <w:r>
        <w:rPr>
          <w:spacing w:val="-5"/>
        </w:rPr>
        <w:t xml:space="preserve"> </w:t>
      </w:r>
      <w:r>
        <w:t>Cancer</w:t>
      </w:r>
      <w:r>
        <w:rPr>
          <w:spacing w:val="-4"/>
        </w:rPr>
        <w:t xml:space="preserve"> </w:t>
      </w:r>
      <w:r>
        <w:t>Society;</w:t>
      </w:r>
      <w:r>
        <w:rPr>
          <w:spacing w:val="-5"/>
        </w:rPr>
        <w:t xml:space="preserve"> </w:t>
      </w:r>
      <w:r>
        <w:t>Boyd</w:t>
      </w:r>
      <w:r>
        <w:rPr>
          <w:spacing w:val="-5"/>
        </w:rPr>
        <w:t xml:space="preserve"> </w:t>
      </w:r>
      <w:r>
        <w:t>Swinburn</w:t>
      </w:r>
      <w:r>
        <w:rPr>
          <w:spacing w:val="-5"/>
        </w:rPr>
        <w:t xml:space="preserve"> </w:t>
      </w:r>
      <w:r>
        <w:t>(University</w:t>
      </w:r>
      <w:r>
        <w:rPr>
          <w:spacing w:val="-4"/>
        </w:rPr>
        <w:t xml:space="preserve"> </w:t>
      </w:r>
      <w:r>
        <w:t>of</w:t>
      </w:r>
      <w:r>
        <w:rPr>
          <w:spacing w:val="-5"/>
        </w:rPr>
        <w:t xml:space="preserve"> </w:t>
      </w:r>
      <w:r>
        <w:t>Auckland);</w:t>
      </w:r>
      <w:r>
        <w:rPr>
          <w:spacing w:val="-5"/>
        </w:rPr>
        <w:t xml:space="preserve"> </w:t>
      </w:r>
      <w:r>
        <w:t>Nicki</w:t>
      </w:r>
      <w:r>
        <w:rPr>
          <w:spacing w:val="-5"/>
        </w:rPr>
        <w:t xml:space="preserve"> </w:t>
      </w:r>
      <w:r>
        <w:t>Jackson</w:t>
      </w:r>
      <w:r>
        <w:rPr>
          <w:spacing w:val="-4"/>
        </w:rPr>
        <w:t xml:space="preserve"> </w:t>
      </w:r>
      <w:r>
        <w:t xml:space="preserve">(Alcohol Healthwatch); Bronwen </w:t>
      </w:r>
      <w:proofErr w:type="spellStart"/>
      <w:r>
        <w:t>McNoe</w:t>
      </w:r>
      <w:proofErr w:type="spellEnd"/>
      <w:r>
        <w:t xml:space="preserve"> (University of Otago); Sport New Zealand; Martin Gledhill (EMF</w:t>
      </w:r>
      <w:r>
        <w:rPr>
          <w:spacing w:val="1"/>
        </w:rPr>
        <w:t xml:space="preserve"> </w:t>
      </w:r>
      <w:r>
        <w:t>Services).</w:t>
      </w:r>
    </w:p>
    <w:p w14:paraId="720C13C9" w14:textId="77777777" w:rsidR="007740F9" w:rsidRPr="00B47C82" w:rsidRDefault="007740F9" w:rsidP="007740F9"/>
    <w:p w14:paraId="545FF3F0" w14:textId="77777777" w:rsidR="00FB0A5B" w:rsidRPr="00B47C82" w:rsidRDefault="00FB0A5B" w:rsidP="00414C35"/>
    <w:p w14:paraId="001E2A03" w14:textId="77777777" w:rsidR="00414C35" w:rsidRPr="00B47C82" w:rsidRDefault="00414C35" w:rsidP="00414C35">
      <w:pPr>
        <w:sectPr w:rsidR="00414C35" w:rsidRPr="00B47C82" w:rsidSect="001D3E4E">
          <w:headerReference w:type="even" r:id="rId17"/>
          <w:headerReference w:type="default" r:id="rId18"/>
          <w:footerReference w:type="even" r:id="rId19"/>
          <w:footerReference w:type="default" r:id="rId20"/>
          <w:endnotePr>
            <w:numFmt w:val="decimal"/>
          </w:endnotePr>
          <w:pgSz w:w="11907" w:h="16840" w:code="9"/>
          <w:pgMar w:top="1418" w:right="1701" w:bottom="1134" w:left="1843" w:header="284" w:footer="425" w:gutter="284"/>
          <w:pgNumType w:fmt="lowerRoman"/>
          <w:cols w:space="720"/>
        </w:sectPr>
      </w:pPr>
    </w:p>
    <w:p w14:paraId="203E772E" w14:textId="77777777" w:rsidR="00C86248" w:rsidRPr="00B47C82" w:rsidRDefault="00C86248" w:rsidP="00025A6F">
      <w:pPr>
        <w:pStyle w:val="IntroHead"/>
      </w:pPr>
      <w:r w:rsidRPr="00B47C82">
        <w:lastRenderedPageBreak/>
        <w:t>Contents</w:t>
      </w:r>
      <w:bookmarkEnd w:id="2"/>
      <w:bookmarkEnd w:id="3"/>
    </w:p>
    <w:p w14:paraId="1DF6FFFB" w14:textId="690804D6" w:rsidR="00255825" w:rsidRDefault="00255825">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95742636" w:history="1">
        <w:r w:rsidRPr="00EA65B2">
          <w:rPr>
            <w:rStyle w:val="Hyperlink"/>
            <w:noProof/>
          </w:rPr>
          <w:t>Kōrero Takamua Foreword</w:t>
        </w:r>
        <w:r>
          <w:rPr>
            <w:noProof/>
            <w:webHidden/>
          </w:rPr>
          <w:tab/>
        </w:r>
        <w:r>
          <w:rPr>
            <w:noProof/>
            <w:webHidden/>
          </w:rPr>
          <w:fldChar w:fldCharType="begin"/>
        </w:r>
        <w:r>
          <w:rPr>
            <w:noProof/>
            <w:webHidden/>
          </w:rPr>
          <w:instrText xml:space="preserve"> PAGEREF _Toc95742636 \h </w:instrText>
        </w:r>
        <w:r>
          <w:rPr>
            <w:noProof/>
            <w:webHidden/>
          </w:rPr>
        </w:r>
        <w:r>
          <w:rPr>
            <w:noProof/>
            <w:webHidden/>
          </w:rPr>
          <w:fldChar w:fldCharType="separate"/>
        </w:r>
        <w:r>
          <w:rPr>
            <w:noProof/>
            <w:webHidden/>
          </w:rPr>
          <w:t>iii</w:t>
        </w:r>
        <w:r>
          <w:rPr>
            <w:noProof/>
            <w:webHidden/>
          </w:rPr>
          <w:fldChar w:fldCharType="end"/>
        </w:r>
      </w:hyperlink>
    </w:p>
    <w:p w14:paraId="27C7069E" w14:textId="5D3EDDD9" w:rsidR="00255825" w:rsidRDefault="00F50B6E">
      <w:pPr>
        <w:pStyle w:val="TOC1"/>
        <w:rPr>
          <w:rFonts w:asciiTheme="minorHAnsi" w:eastAsiaTheme="minorEastAsia" w:hAnsiTheme="minorHAnsi" w:cstheme="minorBidi"/>
          <w:noProof/>
          <w:sz w:val="22"/>
          <w:szCs w:val="22"/>
          <w:lang w:eastAsia="en-NZ"/>
        </w:rPr>
      </w:pPr>
      <w:hyperlink w:anchor="_Toc95742637" w:history="1">
        <w:r w:rsidR="00255825" w:rsidRPr="00EA65B2">
          <w:rPr>
            <w:rStyle w:val="Hyperlink"/>
            <w:noProof/>
            <w:w w:val="105"/>
          </w:rPr>
          <w:t xml:space="preserve">Ngā Mihi </w:t>
        </w:r>
        <w:r w:rsidR="00255825" w:rsidRPr="00EA65B2">
          <w:rPr>
            <w:rStyle w:val="Hyperlink"/>
            <w:noProof/>
          </w:rPr>
          <w:t>Acknowledgements</w:t>
        </w:r>
        <w:r w:rsidR="00255825">
          <w:rPr>
            <w:noProof/>
            <w:webHidden/>
          </w:rPr>
          <w:tab/>
        </w:r>
        <w:r w:rsidR="00255825">
          <w:rPr>
            <w:noProof/>
            <w:webHidden/>
          </w:rPr>
          <w:fldChar w:fldCharType="begin"/>
        </w:r>
        <w:r w:rsidR="00255825">
          <w:rPr>
            <w:noProof/>
            <w:webHidden/>
          </w:rPr>
          <w:instrText xml:space="preserve"> PAGEREF _Toc95742637 \h </w:instrText>
        </w:r>
        <w:r w:rsidR="00255825">
          <w:rPr>
            <w:noProof/>
            <w:webHidden/>
          </w:rPr>
        </w:r>
        <w:r w:rsidR="00255825">
          <w:rPr>
            <w:noProof/>
            <w:webHidden/>
          </w:rPr>
          <w:fldChar w:fldCharType="separate"/>
        </w:r>
        <w:r w:rsidR="00255825">
          <w:rPr>
            <w:noProof/>
            <w:webHidden/>
          </w:rPr>
          <w:t>iv</w:t>
        </w:r>
        <w:r w:rsidR="00255825">
          <w:rPr>
            <w:noProof/>
            <w:webHidden/>
          </w:rPr>
          <w:fldChar w:fldCharType="end"/>
        </w:r>
      </w:hyperlink>
    </w:p>
    <w:p w14:paraId="1955AB5A" w14:textId="1EBBA0AF" w:rsidR="00255825" w:rsidRDefault="00F50B6E">
      <w:pPr>
        <w:pStyle w:val="TOC1"/>
        <w:rPr>
          <w:rFonts w:asciiTheme="minorHAnsi" w:eastAsiaTheme="minorEastAsia" w:hAnsiTheme="minorHAnsi" w:cstheme="minorBidi"/>
          <w:noProof/>
          <w:sz w:val="22"/>
          <w:szCs w:val="22"/>
          <w:lang w:eastAsia="en-NZ"/>
        </w:rPr>
      </w:pPr>
      <w:hyperlink w:anchor="_Toc95742638" w:history="1">
        <w:r w:rsidR="00255825" w:rsidRPr="00EA65B2">
          <w:rPr>
            <w:rStyle w:val="Hyperlink"/>
            <w:noProof/>
          </w:rPr>
          <w:t>He Kupu Whakataki: Te Take Hei Ārai Mate Pukupuku Introduction: The case for cancer prevention</w:t>
        </w:r>
        <w:r w:rsidR="00255825">
          <w:rPr>
            <w:noProof/>
            <w:webHidden/>
          </w:rPr>
          <w:tab/>
        </w:r>
        <w:r w:rsidR="00255825">
          <w:rPr>
            <w:noProof/>
            <w:webHidden/>
          </w:rPr>
          <w:fldChar w:fldCharType="begin"/>
        </w:r>
        <w:r w:rsidR="00255825">
          <w:rPr>
            <w:noProof/>
            <w:webHidden/>
          </w:rPr>
          <w:instrText xml:space="preserve"> PAGEREF _Toc95742638 \h </w:instrText>
        </w:r>
        <w:r w:rsidR="00255825">
          <w:rPr>
            <w:noProof/>
            <w:webHidden/>
          </w:rPr>
        </w:r>
        <w:r w:rsidR="00255825">
          <w:rPr>
            <w:noProof/>
            <w:webHidden/>
          </w:rPr>
          <w:fldChar w:fldCharType="separate"/>
        </w:r>
        <w:r w:rsidR="00255825">
          <w:rPr>
            <w:noProof/>
            <w:webHidden/>
          </w:rPr>
          <w:t>1</w:t>
        </w:r>
        <w:r w:rsidR="00255825">
          <w:rPr>
            <w:noProof/>
            <w:webHidden/>
          </w:rPr>
          <w:fldChar w:fldCharType="end"/>
        </w:r>
      </w:hyperlink>
    </w:p>
    <w:p w14:paraId="069B47E8" w14:textId="414F1166" w:rsidR="00255825" w:rsidRDefault="00F50B6E">
      <w:pPr>
        <w:pStyle w:val="TOC2"/>
        <w:rPr>
          <w:rFonts w:asciiTheme="minorHAnsi" w:eastAsiaTheme="minorEastAsia" w:hAnsiTheme="minorHAnsi" w:cstheme="minorBidi"/>
          <w:noProof/>
          <w:sz w:val="22"/>
          <w:szCs w:val="22"/>
          <w:lang w:eastAsia="en-NZ"/>
        </w:rPr>
      </w:pPr>
      <w:hyperlink w:anchor="_Toc95742639" w:history="1">
        <w:r w:rsidR="00255825" w:rsidRPr="00EA65B2">
          <w:rPr>
            <w:rStyle w:val="Hyperlink"/>
            <w:noProof/>
          </w:rPr>
          <w:t>Up to half of all cancers can be prevented</w:t>
        </w:r>
        <w:r w:rsidR="00255825">
          <w:rPr>
            <w:noProof/>
            <w:webHidden/>
          </w:rPr>
          <w:tab/>
        </w:r>
        <w:r w:rsidR="00255825">
          <w:rPr>
            <w:noProof/>
            <w:webHidden/>
          </w:rPr>
          <w:fldChar w:fldCharType="begin"/>
        </w:r>
        <w:r w:rsidR="00255825">
          <w:rPr>
            <w:noProof/>
            <w:webHidden/>
          </w:rPr>
          <w:instrText xml:space="preserve"> PAGEREF _Toc95742639 \h </w:instrText>
        </w:r>
        <w:r w:rsidR="00255825">
          <w:rPr>
            <w:noProof/>
            <w:webHidden/>
          </w:rPr>
        </w:r>
        <w:r w:rsidR="00255825">
          <w:rPr>
            <w:noProof/>
            <w:webHidden/>
          </w:rPr>
          <w:fldChar w:fldCharType="separate"/>
        </w:r>
        <w:r w:rsidR="00255825">
          <w:rPr>
            <w:noProof/>
            <w:webHidden/>
          </w:rPr>
          <w:t>1</w:t>
        </w:r>
        <w:r w:rsidR="00255825">
          <w:rPr>
            <w:noProof/>
            <w:webHidden/>
          </w:rPr>
          <w:fldChar w:fldCharType="end"/>
        </w:r>
      </w:hyperlink>
    </w:p>
    <w:p w14:paraId="0E224934" w14:textId="6984D449" w:rsidR="00255825" w:rsidRDefault="00F50B6E">
      <w:pPr>
        <w:pStyle w:val="TOC2"/>
        <w:rPr>
          <w:rFonts w:asciiTheme="minorHAnsi" w:eastAsiaTheme="minorEastAsia" w:hAnsiTheme="minorHAnsi" w:cstheme="minorBidi"/>
          <w:noProof/>
          <w:sz w:val="22"/>
          <w:szCs w:val="22"/>
          <w:lang w:eastAsia="en-NZ"/>
        </w:rPr>
      </w:pPr>
      <w:hyperlink w:anchor="_Toc95742640" w:history="1">
        <w:r w:rsidR="00255825" w:rsidRPr="00EA65B2">
          <w:rPr>
            <w:rStyle w:val="Hyperlink"/>
            <w:noProof/>
          </w:rPr>
          <w:t>The burden of cancer is not the same for everyone</w:t>
        </w:r>
        <w:r w:rsidR="00255825">
          <w:rPr>
            <w:noProof/>
            <w:webHidden/>
          </w:rPr>
          <w:tab/>
        </w:r>
        <w:r w:rsidR="00255825">
          <w:rPr>
            <w:noProof/>
            <w:webHidden/>
          </w:rPr>
          <w:fldChar w:fldCharType="begin"/>
        </w:r>
        <w:r w:rsidR="00255825">
          <w:rPr>
            <w:noProof/>
            <w:webHidden/>
          </w:rPr>
          <w:instrText xml:space="preserve"> PAGEREF _Toc95742640 \h </w:instrText>
        </w:r>
        <w:r w:rsidR="00255825">
          <w:rPr>
            <w:noProof/>
            <w:webHidden/>
          </w:rPr>
        </w:r>
        <w:r w:rsidR="00255825">
          <w:rPr>
            <w:noProof/>
            <w:webHidden/>
          </w:rPr>
          <w:fldChar w:fldCharType="separate"/>
        </w:r>
        <w:r w:rsidR="00255825">
          <w:rPr>
            <w:noProof/>
            <w:webHidden/>
          </w:rPr>
          <w:t>2</w:t>
        </w:r>
        <w:r w:rsidR="00255825">
          <w:rPr>
            <w:noProof/>
            <w:webHidden/>
          </w:rPr>
          <w:fldChar w:fldCharType="end"/>
        </w:r>
      </w:hyperlink>
    </w:p>
    <w:p w14:paraId="545F1307" w14:textId="12DF8305" w:rsidR="00255825" w:rsidRDefault="00F50B6E">
      <w:pPr>
        <w:pStyle w:val="TOC2"/>
        <w:rPr>
          <w:rFonts w:asciiTheme="minorHAnsi" w:eastAsiaTheme="minorEastAsia" w:hAnsiTheme="minorHAnsi" w:cstheme="minorBidi"/>
          <w:noProof/>
          <w:sz w:val="22"/>
          <w:szCs w:val="22"/>
          <w:lang w:eastAsia="en-NZ"/>
        </w:rPr>
      </w:pPr>
      <w:hyperlink w:anchor="_Toc95742641" w:history="1">
        <w:r w:rsidR="00255825" w:rsidRPr="00EA65B2">
          <w:rPr>
            <w:rStyle w:val="Hyperlink"/>
            <w:noProof/>
          </w:rPr>
          <w:t>The size of the opportunity for cancer prevention</w:t>
        </w:r>
        <w:r w:rsidR="00255825">
          <w:rPr>
            <w:noProof/>
            <w:webHidden/>
          </w:rPr>
          <w:tab/>
        </w:r>
        <w:r w:rsidR="00255825">
          <w:rPr>
            <w:noProof/>
            <w:webHidden/>
          </w:rPr>
          <w:fldChar w:fldCharType="begin"/>
        </w:r>
        <w:r w:rsidR="00255825">
          <w:rPr>
            <w:noProof/>
            <w:webHidden/>
          </w:rPr>
          <w:instrText xml:space="preserve"> PAGEREF _Toc95742641 \h </w:instrText>
        </w:r>
        <w:r w:rsidR="00255825">
          <w:rPr>
            <w:noProof/>
            <w:webHidden/>
          </w:rPr>
        </w:r>
        <w:r w:rsidR="00255825">
          <w:rPr>
            <w:noProof/>
            <w:webHidden/>
          </w:rPr>
          <w:fldChar w:fldCharType="separate"/>
        </w:r>
        <w:r w:rsidR="00255825">
          <w:rPr>
            <w:noProof/>
            <w:webHidden/>
          </w:rPr>
          <w:t>4</w:t>
        </w:r>
        <w:r w:rsidR="00255825">
          <w:rPr>
            <w:noProof/>
            <w:webHidden/>
          </w:rPr>
          <w:fldChar w:fldCharType="end"/>
        </w:r>
      </w:hyperlink>
    </w:p>
    <w:p w14:paraId="5E69C3CA" w14:textId="53D3B163" w:rsidR="00255825" w:rsidRDefault="00F50B6E">
      <w:pPr>
        <w:pStyle w:val="TOC2"/>
        <w:rPr>
          <w:rFonts w:asciiTheme="minorHAnsi" w:eastAsiaTheme="minorEastAsia" w:hAnsiTheme="minorHAnsi" w:cstheme="minorBidi"/>
          <w:noProof/>
          <w:sz w:val="22"/>
          <w:szCs w:val="22"/>
          <w:lang w:eastAsia="en-NZ"/>
        </w:rPr>
      </w:pPr>
      <w:hyperlink w:anchor="_Toc95742642" w:history="1">
        <w:r w:rsidR="00255825" w:rsidRPr="00EA65B2">
          <w:rPr>
            <w:rStyle w:val="Hyperlink"/>
            <w:noProof/>
          </w:rPr>
          <w:t>Environments strongly influence a person’s risk of cancer</w:t>
        </w:r>
        <w:r w:rsidR="00255825">
          <w:rPr>
            <w:noProof/>
            <w:webHidden/>
          </w:rPr>
          <w:tab/>
        </w:r>
        <w:r w:rsidR="00255825">
          <w:rPr>
            <w:noProof/>
            <w:webHidden/>
          </w:rPr>
          <w:fldChar w:fldCharType="begin"/>
        </w:r>
        <w:r w:rsidR="00255825">
          <w:rPr>
            <w:noProof/>
            <w:webHidden/>
          </w:rPr>
          <w:instrText xml:space="preserve"> PAGEREF _Toc95742642 \h </w:instrText>
        </w:r>
        <w:r w:rsidR="00255825">
          <w:rPr>
            <w:noProof/>
            <w:webHidden/>
          </w:rPr>
        </w:r>
        <w:r w:rsidR="00255825">
          <w:rPr>
            <w:noProof/>
            <w:webHidden/>
          </w:rPr>
          <w:fldChar w:fldCharType="separate"/>
        </w:r>
        <w:r w:rsidR="00255825">
          <w:rPr>
            <w:noProof/>
            <w:webHidden/>
          </w:rPr>
          <w:t>5</w:t>
        </w:r>
        <w:r w:rsidR="00255825">
          <w:rPr>
            <w:noProof/>
            <w:webHidden/>
          </w:rPr>
          <w:fldChar w:fldCharType="end"/>
        </w:r>
      </w:hyperlink>
    </w:p>
    <w:p w14:paraId="1A890AD4" w14:textId="5DE8BE33" w:rsidR="00255825" w:rsidRDefault="00F50B6E">
      <w:pPr>
        <w:pStyle w:val="TOC2"/>
        <w:rPr>
          <w:rFonts w:asciiTheme="minorHAnsi" w:eastAsiaTheme="minorEastAsia" w:hAnsiTheme="minorHAnsi" w:cstheme="minorBidi"/>
          <w:noProof/>
          <w:sz w:val="22"/>
          <w:szCs w:val="22"/>
          <w:lang w:eastAsia="en-NZ"/>
        </w:rPr>
      </w:pPr>
      <w:hyperlink w:anchor="_Toc95742643" w:history="1">
        <w:r w:rsidR="00255825" w:rsidRPr="00EA65B2">
          <w:rPr>
            <w:rStyle w:val="Hyperlink"/>
            <w:noProof/>
          </w:rPr>
          <w:t>Not all environments are created equal</w:t>
        </w:r>
        <w:r w:rsidR="00255825">
          <w:rPr>
            <w:noProof/>
            <w:webHidden/>
          </w:rPr>
          <w:tab/>
        </w:r>
        <w:r w:rsidR="00255825">
          <w:rPr>
            <w:noProof/>
            <w:webHidden/>
          </w:rPr>
          <w:fldChar w:fldCharType="begin"/>
        </w:r>
        <w:r w:rsidR="00255825">
          <w:rPr>
            <w:noProof/>
            <w:webHidden/>
          </w:rPr>
          <w:instrText xml:space="preserve"> PAGEREF _Toc95742643 \h </w:instrText>
        </w:r>
        <w:r w:rsidR="00255825">
          <w:rPr>
            <w:noProof/>
            <w:webHidden/>
          </w:rPr>
        </w:r>
        <w:r w:rsidR="00255825">
          <w:rPr>
            <w:noProof/>
            <w:webHidden/>
          </w:rPr>
          <w:fldChar w:fldCharType="separate"/>
        </w:r>
        <w:r w:rsidR="00255825">
          <w:rPr>
            <w:noProof/>
            <w:webHidden/>
          </w:rPr>
          <w:t>6</w:t>
        </w:r>
        <w:r w:rsidR="00255825">
          <w:rPr>
            <w:noProof/>
            <w:webHidden/>
          </w:rPr>
          <w:fldChar w:fldCharType="end"/>
        </w:r>
      </w:hyperlink>
    </w:p>
    <w:p w14:paraId="167136D1" w14:textId="73029CDB" w:rsidR="00255825" w:rsidRDefault="00F50B6E">
      <w:pPr>
        <w:pStyle w:val="TOC2"/>
        <w:rPr>
          <w:rFonts w:asciiTheme="minorHAnsi" w:eastAsiaTheme="minorEastAsia" w:hAnsiTheme="minorHAnsi" w:cstheme="minorBidi"/>
          <w:noProof/>
          <w:sz w:val="22"/>
          <w:szCs w:val="22"/>
          <w:lang w:eastAsia="en-NZ"/>
        </w:rPr>
      </w:pPr>
      <w:hyperlink w:anchor="_Toc95742644" w:history="1">
        <w:r w:rsidR="00255825" w:rsidRPr="00EA65B2">
          <w:rPr>
            <w:rStyle w:val="Hyperlink"/>
            <w:noProof/>
          </w:rPr>
          <w:t>Te Tiriti o Waitangi responsibilities and preventing cancer</w:t>
        </w:r>
        <w:r w:rsidR="00255825">
          <w:rPr>
            <w:noProof/>
            <w:webHidden/>
          </w:rPr>
          <w:tab/>
        </w:r>
        <w:r w:rsidR="00255825">
          <w:rPr>
            <w:noProof/>
            <w:webHidden/>
          </w:rPr>
          <w:fldChar w:fldCharType="begin"/>
        </w:r>
        <w:r w:rsidR="00255825">
          <w:rPr>
            <w:noProof/>
            <w:webHidden/>
          </w:rPr>
          <w:instrText xml:space="preserve"> PAGEREF _Toc95742644 \h </w:instrText>
        </w:r>
        <w:r w:rsidR="00255825">
          <w:rPr>
            <w:noProof/>
            <w:webHidden/>
          </w:rPr>
        </w:r>
        <w:r w:rsidR="00255825">
          <w:rPr>
            <w:noProof/>
            <w:webHidden/>
          </w:rPr>
          <w:fldChar w:fldCharType="separate"/>
        </w:r>
        <w:r w:rsidR="00255825">
          <w:rPr>
            <w:noProof/>
            <w:webHidden/>
          </w:rPr>
          <w:t>6</w:t>
        </w:r>
        <w:r w:rsidR="00255825">
          <w:rPr>
            <w:noProof/>
            <w:webHidden/>
          </w:rPr>
          <w:fldChar w:fldCharType="end"/>
        </w:r>
      </w:hyperlink>
    </w:p>
    <w:p w14:paraId="1050B490" w14:textId="25075130" w:rsidR="00255825" w:rsidRDefault="00F50B6E">
      <w:pPr>
        <w:pStyle w:val="TOC2"/>
        <w:rPr>
          <w:rFonts w:asciiTheme="minorHAnsi" w:eastAsiaTheme="minorEastAsia" w:hAnsiTheme="minorHAnsi" w:cstheme="minorBidi"/>
          <w:noProof/>
          <w:sz w:val="22"/>
          <w:szCs w:val="22"/>
          <w:lang w:eastAsia="en-NZ"/>
        </w:rPr>
      </w:pPr>
      <w:hyperlink w:anchor="_Toc95742645" w:history="1">
        <w:r w:rsidR="00255825" w:rsidRPr="00EA65B2">
          <w:rPr>
            <w:rStyle w:val="Hyperlink"/>
            <w:noProof/>
          </w:rPr>
          <w:t>Prevention is the ideal in cancer control</w:t>
        </w:r>
        <w:r w:rsidR="00255825">
          <w:rPr>
            <w:noProof/>
            <w:webHidden/>
          </w:rPr>
          <w:tab/>
        </w:r>
        <w:r w:rsidR="00255825">
          <w:rPr>
            <w:noProof/>
            <w:webHidden/>
          </w:rPr>
          <w:fldChar w:fldCharType="begin"/>
        </w:r>
        <w:r w:rsidR="00255825">
          <w:rPr>
            <w:noProof/>
            <w:webHidden/>
          </w:rPr>
          <w:instrText xml:space="preserve"> PAGEREF _Toc95742645 \h </w:instrText>
        </w:r>
        <w:r w:rsidR="00255825">
          <w:rPr>
            <w:noProof/>
            <w:webHidden/>
          </w:rPr>
        </w:r>
        <w:r w:rsidR="00255825">
          <w:rPr>
            <w:noProof/>
            <w:webHidden/>
          </w:rPr>
          <w:fldChar w:fldCharType="separate"/>
        </w:r>
        <w:r w:rsidR="00255825">
          <w:rPr>
            <w:noProof/>
            <w:webHidden/>
          </w:rPr>
          <w:t>7</w:t>
        </w:r>
        <w:r w:rsidR="00255825">
          <w:rPr>
            <w:noProof/>
            <w:webHidden/>
          </w:rPr>
          <w:fldChar w:fldCharType="end"/>
        </w:r>
      </w:hyperlink>
    </w:p>
    <w:p w14:paraId="032BBA7A" w14:textId="6A730136" w:rsidR="00255825" w:rsidRDefault="00F50B6E">
      <w:pPr>
        <w:pStyle w:val="TOC2"/>
        <w:rPr>
          <w:rFonts w:asciiTheme="minorHAnsi" w:eastAsiaTheme="minorEastAsia" w:hAnsiTheme="minorHAnsi" w:cstheme="minorBidi"/>
          <w:noProof/>
          <w:sz w:val="22"/>
          <w:szCs w:val="22"/>
          <w:lang w:eastAsia="en-NZ"/>
        </w:rPr>
      </w:pPr>
      <w:hyperlink w:anchor="_Toc95742646" w:history="1">
        <w:r w:rsidR="00255825" w:rsidRPr="00EA65B2">
          <w:rPr>
            <w:rStyle w:val="Hyperlink"/>
            <w:noProof/>
          </w:rPr>
          <w:t>Purpose of this report</w:t>
        </w:r>
        <w:r w:rsidR="00255825">
          <w:rPr>
            <w:noProof/>
            <w:webHidden/>
          </w:rPr>
          <w:tab/>
        </w:r>
        <w:r w:rsidR="00255825">
          <w:rPr>
            <w:noProof/>
            <w:webHidden/>
          </w:rPr>
          <w:fldChar w:fldCharType="begin"/>
        </w:r>
        <w:r w:rsidR="00255825">
          <w:rPr>
            <w:noProof/>
            <w:webHidden/>
          </w:rPr>
          <w:instrText xml:space="preserve"> PAGEREF _Toc95742646 \h </w:instrText>
        </w:r>
        <w:r w:rsidR="00255825">
          <w:rPr>
            <w:noProof/>
            <w:webHidden/>
          </w:rPr>
        </w:r>
        <w:r w:rsidR="00255825">
          <w:rPr>
            <w:noProof/>
            <w:webHidden/>
          </w:rPr>
          <w:fldChar w:fldCharType="separate"/>
        </w:r>
        <w:r w:rsidR="00255825">
          <w:rPr>
            <w:noProof/>
            <w:webHidden/>
          </w:rPr>
          <w:t>8</w:t>
        </w:r>
        <w:r w:rsidR="00255825">
          <w:rPr>
            <w:noProof/>
            <w:webHidden/>
          </w:rPr>
          <w:fldChar w:fldCharType="end"/>
        </w:r>
      </w:hyperlink>
    </w:p>
    <w:p w14:paraId="3F9D9CB5" w14:textId="46DC4793" w:rsidR="00255825" w:rsidRDefault="00F50B6E">
      <w:pPr>
        <w:pStyle w:val="TOC1"/>
        <w:rPr>
          <w:rFonts w:asciiTheme="minorHAnsi" w:eastAsiaTheme="minorEastAsia" w:hAnsiTheme="minorHAnsi" w:cstheme="minorBidi"/>
          <w:noProof/>
          <w:sz w:val="22"/>
          <w:szCs w:val="22"/>
          <w:lang w:eastAsia="en-NZ"/>
        </w:rPr>
      </w:pPr>
      <w:hyperlink w:anchor="_Toc95742647" w:history="1">
        <w:r w:rsidR="00255825" w:rsidRPr="00EA65B2">
          <w:rPr>
            <w:rStyle w:val="Hyperlink"/>
            <w:noProof/>
          </w:rPr>
          <w:t>Te Hōkai Me Te Hanga O Tēnei Pūrongo Scope and structure of this report</w:t>
        </w:r>
        <w:r w:rsidR="00255825">
          <w:rPr>
            <w:noProof/>
            <w:webHidden/>
          </w:rPr>
          <w:tab/>
        </w:r>
        <w:r w:rsidR="00255825">
          <w:rPr>
            <w:noProof/>
            <w:webHidden/>
          </w:rPr>
          <w:fldChar w:fldCharType="begin"/>
        </w:r>
        <w:r w:rsidR="00255825">
          <w:rPr>
            <w:noProof/>
            <w:webHidden/>
          </w:rPr>
          <w:instrText xml:space="preserve"> PAGEREF _Toc95742647 \h </w:instrText>
        </w:r>
        <w:r w:rsidR="00255825">
          <w:rPr>
            <w:noProof/>
            <w:webHidden/>
          </w:rPr>
        </w:r>
        <w:r w:rsidR="00255825">
          <w:rPr>
            <w:noProof/>
            <w:webHidden/>
          </w:rPr>
          <w:fldChar w:fldCharType="separate"/>
        </w:r>
        <w:r w:rsidR="00255825">
          <w:rPr>
            <w:noProof/>
            <w:webHidden/>
          </w:rPr>
          <w:t>9</w:t>
        </w:r>
        <w:r w:rsidR="00255825">
          <w:rPr>
            <w:noProof/>
            <w:webHidden/>
          </w:rPr>
          <w:fldChar w:fldCharType="end"/>
        </w:r>
      </w:hyperlink>
    </w:p>
    <w:p w14:paraId="1C91A30D" w14:textId="36D43016" w:rsidR="00255825" w:rsidRDefault="00F50B6E">
      <w:pPr>
        <w:pStyle w:val="TOC1"/>
        <w:rPr>
          <w:rFonts w:asciiTheme="minorHAnsi" w:eastAsiaTheme="minorEastAsia" w:hAnsiTheme="minorHAnsi" w:cstheme="minorBidi"/>
          <w:noProof/>
          <w:sz w:val="22"/>
          <w:szCs w:val="22"/>
          <w:lang w:eastAsia="en-NZ"/>
        </w:rPr>
      </w:pPr>
      <w:hyperlink w:anchor="_Toc95742648" w:history="1">
        <w:r w:rsidR="00255825" w:rsidRPr="00EA65B2">
          <w:rPr>
            <w:rStyle w:val="Hyperlink"/>
            <w:noProof/>
          </w:rPr>
          <w:t>Te Ārai Mate Pukupuku Ā</w:t>
        </w:r>
        <w:r w:rsidR="00255825" w:rsidRPr="00EA65B2">
          <w:rPr>
            <w:rStyle w:val="Hyperlink"/>
            <w:noProof/>
          </w:rPr>
          <w:noBreakHyphen/>
          <w:t>Tūpeka Preventing cancers related to tobacco</w:t>
        </w:r>
        <w:r w:rsidR="00255825">
          <w:rPr>
            <w:noProof/>
            <w:webHidden/>
          </w:rPr>
          <w:tab/>
        </w:r>
        <w:r w:rsidR="00255825">
          <w:rPr>
            <w:noProof/>
            <w:webHidden/>
          </w:rPr>
          <w:fldChar w:fldCharType="begin"/>
        </w:r>
        <w:r w:rsidR="00255825">
          <w:rPr>
            <w:noProof/>
            <w:webHidden/>
          </w:rPr>
          <w:instrText xml:space="preserve"> PAGEREF _Toc95742648 \h </w:instrText>
        </w:r>
        <w:r w:rsidR="00255825">
          <w:rPr>
            <w:noProof/>
            <w:webHidden/>
          </w:rPr>
        </w:r>
        <w:r w:rsidR="00255825">
          <w:rPr>
            <w:noProof/>
            <w:webHidden/>
          </w:rPr>
          <w:fldChar w:fldCharType="separate"/>
        </w:r>
        <w:r w:rsidR="00255825">
          <w:rPr>
            <w:noProof/>
            <w:webHidden/>
          </w:rPr>
          <w:t>10</w:t>
        </w:r>
        <w:r w:rsidR="00255825">
          <w:rPr>
            <w:noProof/>
            <w:webHidden/>
          </w:rPr>
          <w:fldChar w:fldCharType="end"/>
        </w:r>
      </w:hyperlink>
    </w:p>
    <w:p w14:paraId="1A28E54B" w14:textId="62C74860" w:rsidR="00255825" w:rsidRDefault="00F50B6E">
      <w:pPr>
        <w:pStyle w:val="TOC2"/>
        <w:rPr>
          <w:rFonts w:asciiTheme="minorHAnsi" w:eastAsiaTheme="minorEastAsia" w:hAnsiTheme="minorHAnsi" w:cstheme="minorBidi"/>
          <w:noProof/>
          <w:sz w:val="22"/>
          <w:szCs w:val="22"/>
          <w:lang w:eastAsia="en-NZ"/>
        </w:rPr>
      </w:pPr>
      <w:hyperlink w:anchor="_Toc95742649" w:history="1">
        <w:r w:rsidR="00255825" w:rsidRPr="00EA65B2">
          <w:rPr>
            <w:rStyle w:val="Hyperlink"/>
            <w:noProof/>
          </w:rPr>
          <w:t>What is the connection between tobacco exposure and cancer?</w:t>
        </w:r>
        <w:r w:rsidR="00255825">
          <w:rPr>
            <w:noProof/>
            <w:webHidden/>
          </w:rPr>
          <w:tab/>
        </w:r>
        <w:r w:rsidR="00255825">
          <w:rPr>
            <w:noProof/>
            <w:webHidden/>
          </w:rPr>
          <w:fldChar w:fldCharType="begin"/>
        </w:r>
        <w:r w:rsidR="00255825">
          <w:rPr>
            <w:noProof/>
            <w:webHidden/>
          </w:rPr>
          <w:instrText xml:space="preserve"> PAGEREF _Toc95742649 \h </w:instrText>
        </w:r>
        <w:r w:rsidR="00255825">
          <w:rPr>
            <w:noProof/>
            <w:webHidden/>
          </w:rPr>
        </w:r>
        <w:r w:rsidR="00255825">
          <w:rPr>
            <w:noProof/>
            <w:webHidden/>
          </w:rPr>
          <w:fldChar w:fldCharType="separate"/>
        </w:r>
        <w:r w:rsidR="00255825">
          <w:rPr>
            <w:noProof/>
            <w:webHidden/>
          </w:rPr>
          <w:t>10</w:t>
        </w:r>
        <w:r w:rsidR="00255825">
          <w:rPr>
            <w:noProof/>
            <w:webHidden/>
          </w:rPr>
          <w:fldChar w:fldCharType="end"/>
        </w:r>
      </w:hyperlink>
    </w:p>
    <w:p w14:paraId="2DF1313C" w14:textId="77CF2AD3" w:rsidR="00255825" w:rsidRDefault="00F50B6E">
      <w:pPr>
        <w:pStyle w:val="TOC2"/>
        <w:rPr>
          <w:rFonts w:asciiTheme="minorHAnsi" w:eastAsiaTheme="minorEastAsia" w:hAnsiTheme="minorHAnsi" w:cstheme="minorBidi"/>
          <w:noProof/>
          <w:sz w:val="22"/>
          <w:szCs w:val="22"/>
          <w:lang w:eastAsia="en-NZ"/>
        </w:rPr>
      </w:pPr>
      <w:hyperlink w:anchor="_Toc95742650" w:history="1">
        <w:r w:rsidR="00255825" w:rsidRPr="00EA65B2">
          <w:rPr>
            <w:rStyle w:val="Hyperlink"/>
            <w:noProof/>
          </w:rPr>
          <w:t>How big is the problem of tobacco exposure in Aotearoa?</w:t>
        </w:r>
        <w:r w:rsidR="00255825">
          <w:rPr>
            <w:noProof/>
            <w:webHidden/>
          </w:rPr>
          <w:tab/>
        </w:r>
        <w:r w:rsidR="00255825">
          <w:rPr>
            <w:noProof/>
            <w:webHidden/>
          </w:rPr>
          <w:fldChar w:fldCharType="begin"/>
        </w:r>
        <w:r w:rsidR="00255825">
          <w:rPr>
            <w:noProof/>
            <w:webHidden/>
          </w:rPr>
          <w:instrText xml:space="preserve"> PAGEREF _Toc95742650 \h </w:instrText>
        </w:r>
        <w:r w:rsidR="00255825">
          <w:rPr>
            <w:noProof/>
            <w:webHidden/>
          </w:rPr>
        </w:r>
        <w:r w:rsidR="00255825">
          <w:rPr>
            <w:noProof/>
            <w:webHidden/>
          </w:rPr>
          <w:fldChar w:fldCharType="separate"/>
        </w:r>
        <w:r w:rsidR="00255825">
          <w:rPr>
            <w:noProof/>
            <w:webHidden/>
          </w:rPr>
          <w:t>11</w:t>
        </w:r>
        <w:r w:rsidR="00255825">
          <w:rPr>
            <w:noProof/>
            <w:webHidden/>
          </w:rPr>
          <w:fldChar w:fldCharType="end"/>
        </w:r>
      </w:hyperlink>
    </w:p>
    <w:p w14:paraId="18FA8D1C" w14:textId="309E77A2" w:rsidR="00255825" w:rsidRDefault="00F50B6E">
      <w:pPr>
        <w:pStyle w:val="TOC2"/>
        <w:rPr>
          <w:rFonts w:asciiTheme="minorHAnsi" w:eastAsiaTheme="minorEastAsia" w:hAnsiTheme="minorHAnsi" w:cstheme="minorBidi"/>
          <w:noProof/>
          <w:sz w:val="22"/>
          <w:szCs w:val="22"/>
          <w:lang w:eastAsia="en-NZ"/>
        </w:rPr>
      </w:pPr>
      <w:hyperlink w:anchor="_Toc95742651" w:history="1">
        <w:r w:rsidR="00255825" w:rsidRPr="00EA65B2">
          <w:rPr>
            <w:rStyle w:val="Hyperlink"/>
            <w:noProof/>
          </w:rPr>
          <w:t>How can we prevent cancers related to tobacco exposure?</w:t>
        </w:r>
        <w:r w:rsidR="00255825">
          <w:rPr>
            <w:noProof/>
            <w:webHidden/>
          </w:rPr>
          <w:tab/>
        </w:r>
        <w:r w:rsidR="00255825">
          <w:rPr>
            <w:noProof/>
            <w:webHidden/>
          </w:rPr>
          <w:fldChar w:fldCharType="begin"/>
        </w:r>
        <w:r w:rsidR="00255825">
          <w:rPr>
            <w:noProof/>
            <w:webHidden/>
          </w:rPr>
          <w:instrText xml:space="preserve"> PAGEREF _Toc95742651 \h </w:instrText>
        </w:r>
        <w:r w:rsidR="00255825">
          <w:rPr>
            <w:noProof/>
            <w:webHidden/>
          </w:rPr>
        </w:r>
        <w:r w:rsidR="00255825">
          <w:rPr>
            <w:noProof/>
            <w:webHidden/>
          </w:rPr>
          <w:fldChar w:fldCharType="separate"/>
        </w:r>
        <w:r w:rsidR="00255825">
          <w:rPr>
            <w:noProof/>
            <w:webHidden/>
          </w:rPr>
          <w:t>13</w:t>
        </w:r>
        <w:r w:rsidR="00255825">
          <w:rPr>
            <w:noProof/>
            <w:webHidden/>
          </w:rPr>
          <w:fldChar w:fldCharType="end"/>
        </w:r>
      </w:hyperlink>
    </w:p>
    <w:p w14:paraId="5F043B7E" w14:textId="33A9C671" w:rsidR="00255825" w:rsidRDefault="00F50B6E">
      <w:pPr>
        <w:pStyle w:val="TOC1"/>
        <w:rPr>
          <w:rFonts w:asciiTheme="minorHAnsi" w:eastAsiaTheme="minorEastAsia" w:hAnsiTheme="minorHAnsi" w:cstheme="minorBidi"/>
          <w:noProof/>
          <w:sz w:val="22"/>
          <w:szCs w:val="22"/>
          <w:lang w:eastAsia="en-NZ"/>
        </w:rPr>
      </w:pPr>
      <w:hyperlink w:anchor="_Toc95742652" w:history="1">
        <w:r w:rsidR="00255825" w:rsidRPr="00EA65B2">
          <w:rPr>
            <w:rStyle w:val="Hyperlink"/>
            <w:noProof/>
          </w:rPr>
          <w:t>Te Ārai Mate Pukupuku E Hāngai Ana Ki Te Waipiro Preventing cancers related to alcohol</w:t>
        </w:r>
        <w:r w:rsidR="00255825">
          <w:rPr>
            <w:noProof/>
            <w:webHidden/>
          </w:rPr>
          <w:tab/>
        </w:r>
        <w:r w:rsidR="00255825">
          <w:rPr>
            <w:noProof/>
            <w:webHidden/>
          </w:rPr>
          <w:fldChar w:fldCharType="begin"/>
        </w:r>
        <w:r w:rsidR="00255825">
          <w:rPr>
            <w:noProof/>
            <w:webHidden/>
          </w:rPr>
          <w:instrText xml:space="preserve"> PAGEREF _Toc95742652 \h </w:instrText>
        </w:r>
        <w:r w:rsidR="00255825">
          <w:rPr>
            <w:noProof/>
            <w:webHidden/>
          </w:rPr>
        </w:r>
        <w:r w:rsidR="00255825">
          <w:rPr>
            <w:noProof/>
            <w:webHidden/>
          </w:rPr>
          <w:fldChar w:fldCharType="separate"/>
        </w:r>
        <w:r w:rsidR="00255825">
          <w:rPr>
            <w:noProof/>
            <w:webHidden/>
          </w:rPr>
          <w:t>19</w:t>
        </w:r>
        <w:r w:rsidR="00255825">
          <w:rPr>
            <w:noProof/>
            <w:webHidden/>
          </w:rPr>
          <w:fldChar w:fldCharType="end"/>
        </w:r>
      </w:hyperlink>
    </w:p>
    <w:p w14:paraId="406B4630" w14:textId="415C41B3" w:rsidR="00255825" w:rsidRDefault="00F50B6E">
      <w:pPr>
        <w:pStyle w:val="TOC2"/>
        <w:rPr>
          <w:rFonts w:asciiTheme="minorHAnsi" w:eastAsiaTheme="minorEastAsia" w:hAnsiTheme="minorHAnsi" w:cstheme="minorBidi"/>
          <w:noProof/>
          <w:sz w:val="22"/>
          <w:szCs w:val="22"/>
          <w:lang w:eastAsia="en-NZ"/>
        </w:rPr>
      </w:pPr>
      <w:hyperlink w:anchor="_Toc95742653" w:history="1">
        <w:r w:rsidR="00255825" w:rsidRPr="00EA65B2">
          <w:rPr>
            <w:rStyle w:val="Hyperlink"/>
            <w:noProof/>
          </w:rPr>
          <w:t>What is the connection between alcohol and cancer?</w:t>
        </w:r>
        <w:r w:rsidR="00255825">
          <w:rPr>
            <w:noProof/>
            <w:webHidden/>
          </w:rPr>
          <w:tab/>
        </w:r>
        <w:r w:rsidR="00255825">
          <w:rPr>
            <w:noProof/>
            <w:webHidden/>
          </w:rPr>
          <w:fldChar w:fldCharType="begin"/>
        </w:r>
        <w:r w:rsidR="00255825">
          <w:rPr>
            <w:noProof/>
            <w:webHidden/>
          </w:rPr>
          <w:instrText xml:space="preserve"> PAGEREF _Toc95742653 \h </w:instrText>
        </w:r>
        <w:r w:rsidR="00255825">
          <w:rPr>
            <w:noProof/>
            <w:webHidden/>
          </w:rPr>
        </w:r>
        <w:r w:rsidR="00255825">
          <w:rPr>
            <w:noProof/>
            <w:webHidden/>
          </w:rPr>
          <w:fldChar w:fldCharType="separate"/>
        </w:r>
        <w:r w:rsidR="00255825">
          <w:rPr>
            <w:noProof/>
            <w:webHidden/>
          </w:rPr>
          <w:t>19</w:t>
        </w:r>
        <w:r w:rsidR="00255825">
          <w:rPr>
            <w:noProof/>
            <w:webHidden/>
          </w:rPr>
          <w:fldChar w:fldCharType="end"/>
        </w:r>
      </w:hyperlink>
    </w:p>
    <w:p w14:paraId="6E706B1D" w14:textId="6F682049" w:rsidR="00255825" w:rsidRDefault="00F50B6E">
      <w:pPr>
        <w:pStyle w:val="TOC2"/>
        <w:rPr>
          <w:rFonts w:asciiTheme="minorHAnsi" w:eastAsiaTheme="minorEastAsia" w:hAnsiTheme="minorHAnsi" w:cstheme="minorBidi"/>
          <w:noProof/>
          <w:sz w:val="22"/>
          <w:szCs w:val="22"/>
          <w:lang w:eastAsia="en-NZ"/>
        </w:rPr>
      </w:pPr>
      <w:hyperlink w:anchor="_Toc95742654" w:history="1">
        <w:r w:rsidR="00255825" w:rsidRPr="00EA65B2">
          <w:rPr>
            <w:rStyle w:val="Hyperlink"/>
            <w:noProof/>
          </w:rPr>
          <w:t>How big is the problem of alcohol use in Aotearoa?</w:t>
        </w:r>
        <w:r w:rsidR="00255825">
          <w:rPr>
            <w:noProof/>
            <w:webHidden/>
          </w:rPr>
          <w:tab/>
        </w:r>
        <w:r w:rsidR="00255825">
          <w:rPr>
            <w:noProof/>
            <w:webHidden/>
          </w:rPr>
          <w:fldChar w:fldCharType="begin"/>
        </w:r>
        <w:r w:rsidR="00255825">
          <w:rPr>
            <w:noProof/>
            <w:webHidden/>
          </w:rPr>
          <w:instrText xml:space="preserve"> PAGEREF _Toc95742654 \h </w:instrText>
        </w:r>
        <w:r w:rsidR="00255825">
          <w:rPr>
            <w:noProof/>
            <w:webHidden/>
          </w:rPr>
        </w:r>
        <w:r w:rsidR="00255825">
          <w:rPr>
            <w:noProof/>
            <w:webHidden/>
          </w:rPr>
          <w:fldChar w:fldCharType="separate"/>
        </w:r>
        <w:r w:rsidR="00255825">
          <w:rPr>
            <w:noProof/>
            <w:webHidden/>
          </w:rPr>
          <w:t>20</w:t>
        </w:r>
        <w:r w:rsidR="00255825">
          <w:rPr>
            <w:noProof/>
            <w:webHidden/>
          </w:rPr>
          <w:fldChar w:fldCharType="end"/>
        </w:r>
      </w:hyperlink>
    </w:p>
    <w:p w14:paraId="69CA22E8" w14:textId="7C7F0562" w:rsidR="00255825" w:rsidRDefault="00F50B6E">
      <w:pPr>
        <w:pStyle w:val="TOC2"/>
        <w:rPr>
          <w:rFonts w:asciiTheme="minorHAnsi" w:eastAsiaTheme="minorEastAsia" w:hAnsiTheme="minorHAnsi" w:cstheme="minorBidi"/>
          <w:noProof/>
          <w:sz w:val="22"/>
          <w:szCs w:val="22"/>
          <w:lang w:eastAsia="en-NZ"/>
        </w:rPr>
      </w:pPr>
      <w:hyperlink w:anchor="_Toc95742655" w:history="1">
        <w:r w:rsidR="00255825" w:rsidRPr="00EA65B2">
          <w:rPr>
            <w:rStyle w:val="Hyperlink"/>
            <w:noProof/>
          </w:rPr>
          <w:t>How can we prevent cancers related to alcohol use?</w:t>
        </w:r>
        <w:r w:rsidR="00255825">
          <w:rPr>
            <w:noProof/>
            <w:webHidden/>
          </w:rPr>
          <w:tab/>
        </w:r>
        <w:r w:rsidR="00255825">
          <w:rPr>
            <w:noProof/>
            <w:webHidden/>
          </w:rPr>
          <w:fldChar w:fldCharType="begin"/>
        </w:r>
        <w:r w:rsidR="00255825">
          <w:rPr>
            <w:noProof/>
            <w:webHidden/>
          </w:rPr>
          <w:instrText xml:space="preserve"> PAGEREF _Toc95742655 \h </w:instrText>
        </w:r>
        <w:r w:rsidR="00255825">
          <w:rPr>
            <w:noProof/>
            <w:webHidden/>
          </w:rPr>
        </w:r>
        <w:r w:rsidR="00255825">
          <w:rPr>
            <w:noProof/>
            <w:webHidden/>
          </w:rPr>
          <w:fldChar w:fldCharType="separate"/>
        </w:r>
        <w:r w:rsidR="00255825">
          <w:rPr>
            <w:noProof/>
            <w:webHidden/>
          </w:rPr>
          <w:t>24</w:t>
        </w:r>
        <w:r w:rsidR="00255825">
          <w:rPr>
            <w:noProof/>
            <w:webHidden/>
          </w:rPr>
          <w:fldChar w:fldCharType="end"/>
        </w:r>
      </w:hyperlink>
    </w:p>
    <w:p w14:paraId="0AAA035D" w14:textId="6D95B4CC" w:rsidR="00255825" w:rsidRDefault="00F50B6E">
      <w:pPr>
        <w:pStyle w:val="TOC1"/>
        <w:rPr>
          <w:rFonts w:asciiTheme="minorHAnsi" w:eastAsiaTheme="minorEastAsia" w:hAnsiTheme="minorHAnsi" w:cstheme="minorBidi"/>
          <w:noProof/>
          <w:sz w:val="22"/>
          <w:szCs w:val="22"/>
          <w:lang w:eastAsia="en-NZ"/>
        </w:rPr>
      </w:pPr>
      <w:hyperlink w:anchor="_Toc95742656" w:history="1">
        <w:r w:rsidR="00255825" w:rsidRPr="00EA65B2">
          <w:rPr>
            <w:rStyle w:val="Hyperlink"/>
            <w:noProof/>
          </w:rPr>
          <w:t>Te Ārai Mate Pukupuku Ā</w:t>
        </w:r>
        <w:r w:rsidR="00255825" w:rsidRPr="00EA65B2">
          <w:rPr>
            <w:rStyle w:val="Hyperlink"/>
            <w:noProof/>
          </w:rPr>
          <w:noBreakHyphen/>
          <w:t>Kai, Ā-Tinana Tino Mōmona Preventing cancers related to nutrition and excess body weight</w:t>
        </w:r>
        <w:r w:rsidR="00255825">
          <w:rPr>
            <w:noProof/>
            <w:webHidden/>
          </w:rPr>
          <w:tab/>
        </w:r>
        <w:r w:rsidR="00255825">
          <w:rPr>
            <w:noProof/>
            <w:webHidden/>
          </w:rPr>
          <w:fldChar w:fldCharType="begin"/>
        </w:r>
        <w:r w:rsidR="00255825">
          <w:rPr>
            <w:noProof/>
            <w:webHidden/>
          </w:rPr>
          <w:instrText xml:space="preserve"> PAGEREF _Toc95742656 \h </w:instrText>
        </w:r>
        <w:r w:rsidR="00255825">
          <w:rPr>
            <w:noProof/>
            <w:webHidden/>
          </w:rPr>
        </w:r>
        <w:r w:rsidR="00255825">
          <w:rPr>
            <w:noProof/>
            <w:webHidden/>
          </w:rPr>
          <w:fldChar w:fldCharType="separate"/>
        </w:r>
        <w:r w:rsidR="00255825">
          <w:rPr>
            <w:noProof/>
            <w:webHidden/>
          </w:rPr>
          <w:t>30</w:t>
        </w:r>
        <w:r w:rsidR="00255825">
          <w:rPr>
            <w:noProof/>
            <w:webHidden/>
          </w:rPr>
          <w:fldChar w:fldCharType="end"/>
        </w:r>
      </w:hyperlink>
    </w:p>
    <w:p w14:paraId="374FBB89" w14:textId="07D8E638" w:rsidR="00255825" w:rsidRDefault="00F50B6E">
      <w:pPr>
        <w:pStyle w:val="TOC2"/>
        <w:rPr>
          <w:rFonts w:asciiTheme="minorHAnsi" w:eastAsiaTheme="minorEastAsia" w:hAnsiTheme="minorHAnsi" w:cstheme="minorBidi"/>
          <w:noProof/>
          <w:sz w:val="22"/>
          <w:szCs w:val="22"/>
          <w:lang w:eastAsia="en-NZ"/>
        </w:rPr>
      </w:pPr>
      <w:hyperlink w:anchor="_Toc95742657" w:history="1">
        <w:r w:rsidR="00255825" w:rsidRPr="00EA65B2">
          <w:rPr>
            <w:rStyle w:val="Hyperlink"/>
            <w:noProof/>
          </w:rPr>
          <w:t>What is the connection between nutrition, excess body weight and cancer?</w:t>
        </w:r>
        <w:r w:rsidR="00255825">
          <w:rPr>
            <w:noProof/>
            <w:webHidden/>
          </w:rPr>
          <w:tab/>
        </w:r>
        <w:r w:rsidR="00255825">
          <w:rPr>
            <w:noProof/>
            <w:webHidden/>
          </w:rPr>
          <w:fldChar w:fldCharType="begin"/>
        </w:r>
        <w:r w:rsidR="00255825">
          <w:rPr>
            <w:noProof/>
            <w:webHidden/>
          </w:rPr>
          <w:instrText xml:space="preserve"> PAGEREF _Toc95742657 \h </w:instrText>
        </w:r>
        <w:r w:rsidR="00255825">
          <w:rPr>
            <w:noProof/>
            <w:webHidden/>
          </w:rPr>
        </w:r>
        <w:r w:rsidR="00255825">
          <w:rPr>
            <w:noProof/>
            <w:webHidden/>
          </w:rPr>
          <w:fldChar w:fldCharType="separate"/>
        </w:r>
        <w:r w:rsidR="00255825">
          <w:rPr>
            <w:noProof/>
            <w:webHidden/>
          </w:rPr>
          <w:t>30</w:t>
        </w:r>
        <w:r w:rsidR="00255825">
          <w:rPr>
            <w:noProof/>
            <w:webHidden/>
          </w:rPr>
          <w:fldChar w:fldCharType="end"/>
        </w:r>
      </w:hyperlink>
    </w:p>
    <w:p w14:paraId="08DA4BD1" w14:textId="2B56DF69" w:rsidR="00255825" w:rsidRDefault="00F50B6E">
      <w:pPr>
        <w:pStyle w:val="TOC2"/>
        <w:rPr>
          <w:rFonts w:asciiTheme="minorHAnsi" w:eastAsiaTheme="minorEastAsia" w:hAnsiTheme="minorHAnsi" w:cstheme="minorBidi"/>
          <w:noProof/>
          <w:sz w:val="22"/>
          <w:szCs w:val="22"/>
          <w:lang w:eastAsia="en-NZ"/>
        </w:rPr>
      </w:pPr>
      <w:hyperlink w:anchor="_Toc95742658" w:history="1">
        <w:r w:rsidR="00255825" w:rsidRPr="00EA65B2">
          <w:rPr>
            <w:rStyle w:val="Hyperlink"/>
            <w:noProof/>
          </w:rPr>
          <w:t>How big is the problem of poor diet and excess body weight in Aotearoa?</w:t>
        </w:r>
        <w:r w:rsidR="00255825">
          <w:rPr>
            <w:noProof/>
            <w:webHidden/>
          </w:rPr>
          <w:tab/>
        </w:r>
        <w:r w:rsidR="00255825">
          <w:rPr>
            <w:noProof/>
            <w:webHidden/>
          </w:rPr>
          <w:fldChar w:fldCharType="begin"/>
        </w:r>
        <w:r w:rsidR="00255825">
          <w:rPr>
            <w:noProof/>
            <w:webHidden/>
          </w:rPr>
          <w:instrText xml:space="preserve"> PAGEREF _Toc95742658 \h </w:instrText>
        </w:r>
        <w:r w:rsidR="00255825">
          <w:rPr>
            <w:noProof/>
            <w:webHidden/>
          </w:rPr>
        </w:r>
        <w:r w:rsidR="00255825">
          <w:rPr>
            <w:noProof/>
            <w:webHidden/>
          </w:rPr>
          <w:fldChar w:fldCharType="separate"/>
        </w:r>
        <w:r w:rsidR="00255825">
          <w:rPr>
            <w:noProof/>
            <w:webHidden/>
          </w:rPr>
          <w:t>32</w:t>
        </w:r>
        <w:r w:rsidR="00255825">
          <w:rPr>
            <w:noProof/>
            <w:webHidden/>
          </w:rPr>
          <w:fldChar w:fldCharType="end"/>
        </w:r>
      </w:hyperlink>
    </w:p>
    <w:p w14:paraId="399B4A9F" w14:textId="39416E13" w:rsidR="00255825" w:rsidRDefault="00F50B6E">
      <w:pPr>
        <w:pStyle w:val="TOC2"/>
        <w:rPr>
          <w:rFonts w:asciiTheme="minorHAnsi" w:eastAsiaTheme="minorEastAsia" w:hAnsiTheme="minorHAnsi" w:cstheme="minorBidi"/>
          <w:noProof/>
          <w:sz w:val="22"/>
          <w:szCs w:val="22"/>
          <w:lang w:eastAsia="en-NZ"/>
        </w:rPr>
      </w:pPr>
      <w:hyperlink w:anchor="_Toc95742659" w:history="1">
        <w:r w:rsidR="00255825" w:rsidRPr="00EA65B2">
          <w:rPr>
            <w:rStyle w:val="Hyperlink"/>
            <w:noProof/>
          </w:rPr>
          <w:t>How can we prevent cancers related to poor diet and excess body weight?</w:t>
        </w:r>
        <w:r w:rsidR="00255825">
          <w:rPr>
            <w:noProof/>
            <w:webHidden/>
          </w:rPr>
          <w:tab/>
        </w:r>
        <w:r w:rsidR="00255825">
          <w:rPr>
            <w:noProof/>
            <w:webHidden/>
          </w:rPr>
          <w:fldChar w:fldCharType="begin"/>
        </w:r>
        <w:r w:rsidR="00255825">
          <w:rPr>
            <w:noProof/>
            <w:webHidden/>
          </w:rPr>
          <w:instrText xml:space="preserve"> PAGEREF _Toc95742659 \h </w:instrText>
        </w:r>
        <w:r w:rsidR="00255825">
          <w:rPr>
            <w:noProof/>
            <w:webHidden/>
          </w:rPr>
        </w:r>
        <w:r w:rsidR="00255825">
          <w:rPr>
            <w:noProof/>
            <w:webHidden/>
          </w:rPr>
          <w:fldChar w:fldCharType="separate"/>
        </w:r>
        <w:r w:rsidR="00255825">
          <w:rPr>
            <w:noProof/>
            <w:webHidden/>
          </w:rPr>
          <w:t>35</w:t>
        </w:r>
        <w:r w:rsidR="00255825">
          <w:rPr>
            <w:noProof/>
            <w:webHidden/>
          </w:rPr>
          <w:fldChar w:fldCharType="end"/>
        </w:r>
      </w:hyperlink>
    </w:p>
    <w:p w14:paraId="158A8A5C" w14:textId="717C368A" w:rsidR="00255825" w:rsidRDefault="00F50B6E">
      <w:pPr>
        <w:pStyle w:val="TOC1"/>
        <w:rPr>
          <w:rFonts w:asciiTheme="minorHAnsi" w:eastAsiaTheme="minorEastAsia" w:hAnsiTheme="minorHAnsi" w:cstheme="minorBidi"/>
          <w:noProof/>
          <w:sz w:val="22"/>
          <w:szCs w:val="22"/>
          <w:lang w:eastAsia="en-NZ"/>
        </w:rPr>
      </w:pPr>
      <w:hyperlink w:anchor="_Toc95742660" w:history="1">
        <w:r w:rsidR="00255825" w:rsidRPr="00EA65B2">
          <w:rPr>
            <w:rStyle w:val="Hyperlink"/>
            <w:noProof/>
          </w:rPr>
          <w:t>Te Ārai Mate Pukupuku Mō Te Iti O Te Kori Tinana Preventing cancers related to insufficient physical activity</w:t>
        </w:r>
        <w:r w:rsidR="00255825">
          <w:rPr>
            <w:noProof/>
            <w:webHidden/>
          </w:rPr>
          <w:tab/>
        </w:r>
        <w:r w:rsidR="00255825">
          <w:rPr>
            <w:noProof/>
            <w:webHidden/>
          </w:rPr>
          <w:fldChar w:fldCharType="begin"/>
        </w:r>
        <w:r w:rsidR="00255825">
          <w:rPr>
            <w:noProof/>
            <w:webHidden/>
          </w:rPr>
          <w:instrText xml:space="preserve"> PAGEREF _Toc95742660 \h </w:instrText>
        </w:r>
        <w:r w:rsidR="00255825">
          <w:rPr>
            <w:noProof/>
            <w:webHidden/>
          </w:rPr>
        </w:r>
        <w:r w:rsidR="00255825">
          <w:rPr>
            <w:noProof/>
            <w:webHidden/>
          </w:rPr>
          <w:fldChar w:fldCharType="separate"/>
        </w:r>
        <w:r w:rsidR="00255825">
          <w:rPr>
            <w:noProof/>
            <w:webHidden/>
          </w:rPr>
          <w:t>42</w:t>
        </w:r>
        <w:r w:rsidR="00255825">
          <w:rPr>
            <w:noProof/>
            <w:webHidden/>
          </w:rPr>
          <w:fldChar w:fldCharType="end"/>
        </w:r>
      </w:hyperlink>
    </w:p>
    <w:p w14:paraId="7EEAA1AB" w14:textId="57C8F44F" w:rsidR="00255825" w:rsidRDefault="00F50B6E">
      <w:pPr>
        <w:pStyle w:val="TOC2"/>
        <w:rPr>
          <w:rFonts w:asciiTheme="minorHAnsi" w:eastAsiaTheme="minorEastAsia" w:hAnsiTheme="minorHAnsi" w:cstheme="minorBidi"/>
          <w:noProof/>
          <w:sz w:val="22"/>
          <w:szCs w:val="22"/>
          <w:lang w:eastAsia="en-NZ"/>
        </w:rPr>
      </w:pPr>
      <w:hyperlink w:anchor="_Toc95742661" w:history="1">
        <w:r w:rsidR="00255825" w:rsidRPr="00EA65B2">
          <w:rPr>
            <w:rStyle w:val="Hyperlink"/>
            <w:noProof/>
          </w:rPr>
          <w:t>What is the connection between physical activity and cancer?</w:t>
        </w:r>
        <w:r w:rsidR="00255825">
          <w:rPr>
            <w:noProof/>
            <w:webHidden/>
          </w:rPr>
          <w:tab/>
        </w:r>
        <w:r w:rsidR="00255825">
          <w:rPr>
            <w:noProof/>
            <w:webHidden/>
          </w:rPr>
          <w:fldChar w:fldCharType="begin"/>
        </w:r>
        <w:r w:rsidR="00255825">
          <w:rPr>
            <w:noProof/>
            <w:webHidden/>
          </w:rPr>
          <w:instrText xml:space="preserve"> PAGEREF _Toc95742661 \h </w:instrText>
        </w:r>
        <w:r w:rsidR="00255825">
          <w:rPr>
            <w:noProof/>
            <w:webHidden/>
          </w:rPr>
        </w:r>
        <w:r w:rsidR="00255825">
          <w:rPr>
            <w:noProof/>
            <w:webHidden/>
          </w:rPr>
          <w:fldChar w:fldCharType="separate"/>
        </w:r>
        <w:r w:rsidR="00255825">
          <w:rPr>
            <w:noProof/>
            <w:webHidden/>
          </w:rPr>
          <w:t>42</w:t>
        </w:r>
        <w:r w:rsidR="00255825">
          <w:rPr>
            <w:noProof/>
            <w:webHidden/>
          </w:rPr>
          <w:fldChar w:fldCharType="end"/>
        </w:r>
      </w:hyperlink>
    </w:p>
    <w:p w14:paraId="0A490A72" w14:textId="2D40C931" w:rsidR="00255825" w:rsidRDefault="00F50B6E">
      <w:pPr>
        <w:pStyle w:val="TOC2"/>
        <w:rPr>
          <w:rFonts w:asciiTheme="minorHAnsi" w:eastAsiaTheme="minorEastAsia" w:hAnsiTheme="minorHAnsi" w:cstheme="minorBidi"/>
          <w:noProof/>
          <w:sz w:val="22"/>
          <w:szCs w:val="22"/>
          <w:lang w:eastAsia="en-NZ"/>
        </w:rPr>
      </w:pPr>
      <w:hyperlink w:anchor="_Toc95742662" w:history="1">
        <w:r w:rsidR="00255825" w:rsidRPr="00EA65B2">
          <w:rPr>
            <w:rStyle w:val="Hyperlink"/>
            <w:noProof/>
          </w:rPr>
          <w:t>How big is the problem of physical inactivity in Aotearoa?</w:t>
        </w:r>
        <w:r w:rsidR="00255825">
          <w:rPr>
            <w:noProof/>
            <w:webHidden/>
          </w:rPr>
          <w:tab/>
        </w:r>
        <w:r w:rsidR="00255825">
          <w:rPr>
            <w:noProof/>
            <w:webHidden/>
          </w:rPr>
          <w:fldChar w:fldCharType="begin"/>
        </w:r>
        <w:r w:rsidR="00255825">
          <w:rPr>
            <w:noProof/>
            <w:webHidden/>
          </w:rPr>
          <w:instrText xml:space="preserve"> PAGEREF _Toc95742662 \h </w:instrText>
        </w:r>
        <w:r w:rsidR="00255825">
          <w:rPr>
            <w:noProof/>
            <w:webHidden/>
          </w:rPr>
        </w:r>
        <w:r w:rsidR="00255825">
          <w:rPr>
            <w:noProof/>
            <w:webHidden/>
          </w:rPr>
          <w:fldChar w:fldCharType="separate"/>
        </w:r>
        <w:r w:rsidR="00255825">
          <w:rPr>
            <w:noProof/>
            <w:webHidden/>
          </w:rPr>
          <w:t>43</w:t>
        </w:r>
        <w:r w:rsidR="00255825">
          <w:rPr>
            <w:noProof/>
            <w:webHidden/>
          </w:rPr>
          <w:fldChar w:fldCharType="end"/>
        </w:r>
      </w:hyperlink>
    </w:p>
    <w:p w14:paraId="2F226B7E" w14:textId="40489815" w:rsidR="00255825" w:rsidRDefault="00F50B6E">
      <w:pPr>
        <w:pStyle w:val="TOC2"/>
        <w:rPr>
          <w:rFonts w:asciiTheme="minorHAnsi" w:eastAsiaTheme="minorEastAsia" w:hAnsiTheme="minorHAnsi" w:cstheme="minorBidi"/>
          <w:noProof/>
          <w:sz w:val="22"/>
          <w:szCs w:val="22"/>
          <w:lang w:eastAsia="en-NZ"/>
        </w:rPr>
      </w:pPr>
      <w:hyperlink w:anchor="_Toc95742663" w:history="1">
        <w:r w:rsidR="00255825" w:rsidRPr="00EA65B2">
          <w:rPr>
            <w:rStyle w:val="Hyperlink"/>
            <w:noProof/>
          </w:rPr>
          <w:t>How can we prevent cancers related to insufficient physical activity?</w:t>
        </w:r>
        <w:r w:rsidR="00255825">
          <w:rPr>
            <w:noProof/>
            <w:webHidden/>
          </w:rPr>
          <w:tab/>
        </w:r>
        <w:r w:rsidR="00255825">
          <w:rPr>
            <w:noProof/>
            <w:webHidden/>
          </w:rPr>
          <w:fldChar w:fldCharType="begin"/>
        </w:r>
        <w:r w:rsidR="00255825">
          <w:rPr>
            <w:noProof/>
            <w:webHidden/>
          </w:rPr>
          <w:instrText xml:space="preserve"> PAGEREF _Toc95742663 \h </w:instrText>
        </w:r>
        <w:r w:rsidR="00255825">
          <w:rPr>
            <w:noProof/>
            <w:webHidden/>
          </w:rPr>
        </w:r>
        <w:r w:rsidR="00255825">
          <w:rPr>
            <w:noProof/>
            <w:webHidden/>
          </w:rPr>
          <w:fldChar w:fldCharType="separate"/>
        </w:r>
        <w:r w:rsidR="00255825">
          <w:rPr>
            <w:noProof/>
            <w:webHidden/>
          </w:rPr>
          <w:t>46</w:t>
        </w:r>
        <w:r w:rsidR="00255825">
          <w:rPr>
            <w:noProof/>
            <w:webHidden/>
          </w:rPr>
          <w:fldChar w:fldCharType="end"/>
        </w:r>
      </w:hyperlink>
    </w:p>
    <w:p w14:paraId="56827D77" w14:textId="2AD034EB" w:rsidR="00255825" w:rsidRDefault="00F50B6E">
      <w:pPr>
        <w:pStyle w:val="TOC1"/>
        <w:rPr>
          <w:rFonts w:asciiTheme="minorHAnsi" w:eastAsiaTheme="minorEastAsia" w:hAnsiTheme="minorHAnsi" w:cstheme="minorBidi"/>
          <w:noProof/>
          <w:sz w:val="22"/>
          <w:szCs w:val="22"/>
          <w:lang w:eastAsia="en-NZ"/>
        </w:rPr>
      </w:pPr>
      <w:hyperlink w:anchor="_Toc95742664" w:history="1">
        <w:r w:rsidR="00255825" w:rsidRPr="00EA65B2">
          <w:rPr>
            <w:rStyle w:val="Hyperlink"/>
            <w:noProof/>
          </w:rPr>
          <w:t>Te Ārai Mate Pukupuku Mō Pānga O Te Hihi Kōmaru Preventing cancers related to excessive exposure to ultraviolet radiation</w:t>
        </w:r>
        <w:r w:rsidR="00255825">
          <w:rPr>
            <w:noProof/>
            <w:webHidden/>
          </w:rPr>
          <w:tab/>
        </w:r>
        <w:r w:rsidR="00255825">
          <w:rPr>
            <w:noProof/>
            <w:webHidden/>
          </w:rPr>
          <w:fldChar w:fldCharType="begin"/>
        </w:r>
        <w:r w:rsidR="00255825">
          <w:rPr>
            <w:noProof/>
            <w:webHidden/>
          </w:rPr>
          <w:instrText xml:space="preserve"> PAGEREF _Toc95742664 \h </w:instrText>
        </w:r>
        <w:r w:rsidR="00255825">
          <w:rPr>
            <w:noProof/>
            <w:webHidden/>
          </w:rPr>
        </w:r>
        <w:r w:rsidR="00255825">
          <w:rPr>
            <w:noProof/>
            <w:webHidden/>
          </w:rPr>
          <w:fldChar w:fldCharType="separate"/>
        </w:r>
        <w:r w:rsidR="00255825">
          <w:rPr>
            <w:noProof/>
            <w:webHidden/>
          </w:rPr>
          <w:t>52</w:t>
        </w:r>
        <w:r w:rsidR="00255825">
          <w:rPr>
            <w:noProof/>
            <w:webHidden/>
          </w:rPr>
          <w:fldChar w:fldCharType="end"/>
        </w:r>
      </w:hyperlink>
    </w:p>
    <w:p w14:paraId="67141D03" w14:textId="530D9306" w:rsidR="00255825" w:rsidRDefault="00F50B6E">
      <w:pPr>
        <w:pStyle w:val="TOC2"/>
        <w:rPr>
          <w:rFonts w:asciiTheme="minorHAnsi" w:eastAsiaTheme="minorEastAsia" w:hAnsiTheme="minorHAnsi" w:cstheme="minorBidi"/>
          <w:noProof/>
          <w:sz w:val="22"/>
          <w:szCs w:val="22"/>
          <w:lang w:eastAsia="en-NZ"/>
        </w:rPr>
      </w:pPr>
      <w:hyperlink w:anchor="_Toc95742665" w:history="1">
        <w:r w:rsidR="00255825" w:rsidRPr="00EA65B2">
          <w:rPr>
            <w:rStyle w:val="Hyperlink"/>
            <w:noProof/>
          </w:rPr>
          <w:t>What is the connection between ultraviolet radiation and cancer?</w:t>
        </w:r>
        <w:r w:rsidR="00255825">
          <w:rPr>
            <w:noProof/>
            <w:webHidden/>
          </w:rPr>
          <w:tab/>
        </w:r>
        <w:r w:rsidR="00255825">
          <w:rPr>
            <w:noProof/>
            <w:webHidden/>
          </w:rPr>
          <w:fldChar w:fldCharType="begin"/>
        </w:r>
        <w:r w:rsidR="00255825">
          <w:rPr>
            <w:noProof/>
            <w:webHidden/>
          </w:rPr>
          <w:instrText xml:space="preserve"> PAGEREF _Toc95742665 \h </w:instrText>
        </w:r>
        <w:r w:rsidR="00255825">
          <w:rPr>
            <w:noProof/>
            <w:webHidden/>
          </w:rPr>
        </w:r>
        <w:r w:rsidR="00255825">
          <w:rPr>
            <w:noProof/>
            <w:webHidden/>
          </w:rPr>
          <w:fldChar w:fldCharType="separate"/>
        </w:r>
        <w:r w:rsidR="00255825">
          <w:rPr>
            <w:noProof/>
            <w:webHidden/>
          </w:rPr>
          <w:t>52</w:t>
        </w:r>
        <w:r w:rsidR="00255825">
          <w:rPr>
            <w:noProof/>
            <w:webHidden/>
          </w:rPr>
          <w:fldChar w:fldCharType="end"/>
        </w:r>
      </w:hyperlink>
    </w:p>
    <w:p w14:paraId="09A9F3AE" w14:textId="210A2D07" w:rsidR="00255825" w:rsidRDefault="00F50B6E">
      <w:pPr>
        <w:pStyle w:val="TOC2"/>
        <w:rPr>
          <w:rFonts w:asciiTheme="minorHAnsi" w:eastAsiaTheme="minorEastAsia" w:hAnsiTheme="minorHAnsi" w:cstheme="minorBidi"/>
          <w:noProof/>
          <w:sz w:val="22"/>
          <w:szCs w:val="22"/>
          <w:lang w:eastAsia="en-NZ"/>
        </w:rPr>
      </w:pPr>
      <w:hyperlink w:anchor="_Toc95742666" w:history="1">
        <w:r w:rsidR="00255825" w:rsidRPr="00EA65B2">
          <w:rPr>
            <w:rStyle w:val="Hyperlink"/>
            <w:noProof/>
          </w:rPr>
          <w:t>How big is the problem of excessive exposure to ultraviolet radiation in Aotearoa?</w:t>
        </w:r>
        <w:r w:rsidR="00255825">
          <w:rPr>
            <w:noProof/>
            <w:webHidden/>
          </w:rPr>
          <w:tab/>
        </w:r>
        <w:r w:rsidR="00255825">
          <w:rPr>
            <w:noProof/>
            <w:webHidden/>
          </w:rPr>
          <w:fldChar w:fldCharType="begin"/>
        </w:r>
        <w:r w:rsidR="00255825">
          <w:rPr>
            <w:noProof/>
            <w:webHidden/>
          </w:rPr>
          <w:instrText xml:space="preserve"> PAGEREF _Toc95742666 \h </w:instrText>
        </w:r>
        <w:r w:rsidR="00255825">
          <w:rPr>
            <w:noProof/>
            <w:webHidden/>
          </w:rPr>
        </w:r>
        <w:r w:rsidR="00255825">
          <w:rPr>
            <w:noProof/>
            <w:webHidden/>
          </w:rPr>
          <w:fldChar w:fldCharType="separate"/>
        </w:r>
        <w:r w:rsidR="00255825">
          <w:rPr>
            <w:noProof/>
            <w:webHidden/>
          </w:rPr>
          <w:t>53</w:t>
        </w:r>
        <w:r w:rsidR="00255825">
          <w:rPr>
            <w:noProof/>
            <w:webHidden/>
          </w:rPr>
          <w:fldChar w:fldCharType="end"/>
        </w:r>
      </w:hyperlink>
    </w:p>
    <w:p w14:paraId="57F609CA" w14:textId="7D00AC11" w:rsidR="00255825" w:rsidRDefault="00F50B6E">
      <w:pPr>
        <w:pStyle w:val="TOC2"/>
        <w:rPr>
          <w:rFonts w:asciiTheme="minorHAnsi" w:eastAsiaTheme="minorEastAsia" w:hAnsiTheme="minorHAnsi" w:cstheme="minorBidi"/>
          <w:noProof/>
          <w:sz w:val="22"/>
          <w:szCs w:val="22"/>
          <w:lang w:eastAsia="en-NZ"/>
        </w:rPr>
      </w:pPr>
      <w:hyperlink w:anchor="_Toc95742667" w:history="1">
        <w:r w:rsidR="00255825" w:rsidRPr="00EA65B2">
          <w:rPr>
            <w:rStyle w:val="Hyperlink"/>
            <w:noProof/>
          </w:rPr>
          <w:t>How can we prevent cancers related to excessive ultraviolet radiation?</w:t>
        </w:r>
        <w:r w:rsidR="00255825">
          <w:rPr>
            <w:noProof/>
            <w:webHidden/>
          </w:rPr>
          <w:tab/>
        </w:r>
        <w:r w:rsidR="00255825">
          <w:rPr>
            <w:noProof/>
            <w:webHidden/>
          </w:rPr>
          <w:fldChar w:fldCharType="begin"/>
        </w:r>
        <w:r w:rsidR="00255825">
          <w:rPr>
            <w:noProof/>
            <w:webHidden/>
          </w:rPr>
          <w:instrText xml:space="preserve"> PAGEREF _Toc95742667 \h </w:instrText>
        </w:r>
        <w:r w:rsidR="00255825">
          <w:rPr>
            <w:noProof/>
            <w:webHidden/>
          </w:rPr>
        </w:r>
        <w:r w:rsidR="00255825">
          <w:rPr>
            <w:noProof/>
            <w:webHidden/>
          </w:rPr>
          <w:fldChar w:fldCharType="separate"/>
        </w:r>
        <w:r w:rsidR="00255825">
          <w:rPr>
            <w:noProof/>
            <w:webHidden/>
          </w:rPr>
          <w:t>55</w:t>
        </w:r>
        <w:r w:rsidR="00255825">
          <w:rPr>
            <w:noProof/>
            <w:webHidden/>
          </w:rPr>
          <w:fldChar w:fldCharType="end"/>
        </w:r>
      </w:hyperlink>
    </w:p>
    <w:p w14:paraId="14E27156" w14:textId="4AB7FF09" w:rsidR="00255825" w:rsidRDefault="00F50B6E">
      <w:pPr>
        <w:pStyle w:val="TOC1"/>
        <w:rPr>
          <w:rFonts w:asciiTheme="minorHAnsi" w:eastAsiaTheme="minorEastAsia" w:hAnsiTheme="minorHAnsi" w:cstheme="minorBidi"/>
          <w:noProof/>
          <w:sz w:val="22"/>
          <w:szCs w:val="22"/>
          <w:lang w:eastAsia="en-NZ"/>
        </w:rPr>
      </w:pPr>
      <w:hyperlink w:anchor="_Toc95742668" w:history="1">
        <w:r w:rsidR="00255825" w:rsidRPr="00EA65B2">
          <w:rPr>
            <w:rStyle w:val="Hyperlink"/>
            <w:noProof/>
          </w:rPr>
          <w:t>Te Ārai I Ngā Mate Pukupuku Mō Ngā Mate Mau Tonu Preventing cancers related to chronic infections</w:t>
        </w:r>
        <w:r w:rsidR="00255825">
          <w:rPr>
            <w:noProof/>
            <w:webHidden/>
          </w:rPr>
          <w:tab/>
        </w:r>
        <w:r w:rsidR="00255825">
          <w:rPr>
            <w:noProof/>
            <w:webHidden/>
          </w:rPr>
          <w:fldChar w:fldCharType="begin"/>
        </w:r>
        <w:r w:rsidR="00255825">
          <w:rPr>
            <w:noProof/>
            <w:webHidden/>
          </w:rPr>
          <w:instrText xml:space="preserve"> PAGEREF _Toc95742668 \h </w:instrText>
        </w:r>
        <w:r w:rsidR="00255825">
          <w:rPr>
            <w:noProof/>
            <w:webHidden/>
          </w:rPr>
        </w:r>
        <w:r w:rsidR="00255825">
          <w:rPr>
            <w:noProof/>
            <w:webHidden/>
          </w:rPr>
          <w:fldChar w:fldCharType="separate"/>
        </w:r>
        <w:r w:rsidR="00255825">
          <w:rPr>
            <w:noProof/>
            <w:webHidden/>
          </w:rPr>
          <w:t>61</w:t>
        </w:r>
        <w:r w:rsidR="00255825">
          <w:rPr>
            <w:noProof/>
            <w:webHidden/>
          </w:rPr>
          <w:fldChar w:fldCharType="end"/>
        </w:r>
      </w:hyperlink>
    </w:p>
    <w:p w14:paraId="4E22B9BF" w14:textId="403C63CB" w:rsidR="00255825" w:rsidRDefault="00F50B6E">
      <w:pPr>
        <w:pStyle w:val="TOC2"/>
        <w:rPr>
          <w:rFonts w:asciiTheme="minorHAnsi" w:eastAsiaTheme="minorEastAsia" w:hAnsiTheme="minorHAnsi" w:cstheme="minorBidi"/>
          <w:noProof/>
          <w:sz w:val="22"/>
          <w:szCs w:val="22"/>
          <w:lang w:eastAsia="en-NZ"/>
        </w:rPr>
      </w:pPr>
      <w:hyperlink w:anchor="_Toc95742669" w:history="1">
        <w:r w:rsidR="00255825" w:rsidRPr="00EA65B2">
          <w:rPr>
            <w:rStyle w:val="Hyperlink"/>
            <w:noProof/>
          </w:rPr>
          <w:t>What is the connection between chronic infections and cancer?</w:t>
        </w:r>
        <w:r w:rsidR="00255825">
          <w:rPr>
            <w:noProof/>
            <w:webHidden/>
          </w:rPr>
          <w:tab/>
        </w:r>
        <w:r w:rsidR="00255825">
          <w:rPr>
            <w:noProof/>
            <w:webHidden/>
          </w:rPr>
          <w:fldChar w:fldCharType="begin"/>
        </w:r>
        <w:r w:rsidR="00255825">
          <w:rPr>
            <w:noProof/>
            <w:webHidden/>
          </w:rPr>
          <w:instrText xml:space="preserve"> PAGEREF _Toc95742669 \h </w:instrText>
        </w:r>
        <w:r w:rsidR="00255825">
          <w:rPr>
            <w:noProof/>
            <w:webHidden/>
          </w:rPr>
        </w:r>
        <w:r w:rsidR="00255825">
          <w:rPr>
            <w:noProof/>
            <w:webHidden/>
          </w:rPr>
          <w:fldChar w:fldCharType="separate"/>
        </w:r>
        <w:r w:rsidR="00255825">
          <w:rPr>
            <w:noProof/>
            <w:webHidden/>
          </w:rPr>
          <w:t>61</w:t>
        </w:r>
        <w:r w:rsidR="00255825">
          <w:rPr>
            <w:noProof/>
            <w:webHidden/>
          </w:rPr>
          <w:fldChar w:fldCharType="end"/>
        </w:r>
      </w:hyperlink>
    </w:p>
    <w:p w14:paraId="253CB57F" w14:textId="73E5A543" w:rsidR="00255825" w:rsidRDefault="00F50B6E">
      <w:pPr>
        <w:pStyle w:val="TOC2"/>
        <w:rPr>
          <w:rFonts w:asciiTheme="minorHAnsi" w:eastAsiaTheme="minorEastAsia" w:hAnsiTheme="minorHAnsi" w:cstheme="minorBidi"/>
          <w:noProof/>
          <w:sz w:val="22"/>
          <w:szCs w:val="22"/>
          <w:lang w:eastAsia="en-NZ"/>
        </w:rPr>
      </w:pPr>
      <w:hyperlink w:anchor="_Toc95742670" w:history="1">
        <w:r w:rsidR="00255825" w:rsidRPr="00EA65B2">
          <w:rPr>
            <w:rStyle w:val="Hyperlink"/>
            <w:noProof/>
          </w:rPr>
          <w:t>How big is the problem of chronic infections in Aotearoa?</w:t>
        </w:r>
        <w:r w:rsidR="00255825">
          <w:rPr>
            <w:noProof/>
            <w:webHidden/>
          </w:rPr>
          <w:tab/>
        </w:r>
        <w:r w:rsidR="00255825">
          <w:rPr>
            <w:noProof/>
            <w:webHidden/>
          </w:rPr>
          <w:fldChar w:fldCharType="begin"/>
        </w:r>
        <w:r w:rsidR="00255825">
          <w:rPr>
            <w:noProof/>
            <w:webHidden/>
          </w:rPr>
          <w:instrText xml:space="preserve"> PAGEREF _Toc95742670 \h </w:instrText>
        </w:r>
        <w:r w:rsidR="00255825">
          <w:rPr>
            <w:noProof/>
            <w:webHidden/>
          </w:rPr>
        </w:r>
        <w:r w:rsidR="00255825">
          <w:rPr>
            <w:noProof/>
            <w:webHidden/>
          </w:rPr>
          <w:fldChar w:fldCharType="separate"/>
        </w:r>
        <w:r w:rsidR="00255825">
          <w:rPr>
            <w:noProof/>
            <w:webHidden/>
          </w:rPr>
          <w:t>66</w:t>
        </w:r>
        <w:r w:rsidR="00255825">
          <w:rPr>
            <w:noProof/>
            <w:webHidden/>
          </w:rPr>
          <w:fldChar w:fldCharType="end"/>
        </w:r>
      </w:hyperlink>
    </w:p>
    <w:p w14:paraId="250B8C33" w14:textId="191FC68D" w:rsidR="00255825" w:rsidRDefault="00F50B6E">
      <w:pPr>
        <w:pStyle w:val="TOC2"/>
        <w:rPr>
          <w:rFonts w:asciiTheme="minorHAnsi" w:eastAsiaTheme="minorEastAsia" w:hAnsiTheme="minorHAnsi" w:cstheme="minorBidi"/>
          <w:noProof/>
          <w:sz w:val="22"/>
          <w:szCs w:val="22"/>
          <w:lang w:eastAsia="en-NZ"/>
        </w:rPr>
      </w:pPr>
      <w:hyperlink w:anchor="_Toc95742671" w:history="1">
        <w:r w:rsidR="00255825" w:rsidRPr="00EA65B2">
          <w:rPr>
            <w:rStyle w:val="Hyperlink"/>
            <w:noProof/>
          </w:rPr>
          <w:t>How can we prevent cancers related to chronic infections?</w:t>
        </w:r>
        <w:r w:rsidR="00255825">
          <w:rPr>
            <w:noProof/>
            <w:webHidden/>
          </w:rPr>
          <w:tab/>
        </w:r>
        <w:r w:rsidR="00255825">
          <w:rPr>
            <w:noProof/>
            <w:webHidden/>
          </w:rPr>
          <w:fldChar w:fldCharType="begin"/>
        </w:r>
        <w:r w:rsidR="00255825">
          <w:rPr>
            <w:noProof/>
            <w:webHidden/>
          </w:rPr>
          <w:instrText xml:space="preserve"> PAGEREF _Toc95742671 \h </w:instrText>
        </w:r>
        <w:r w:rsidR="00255825">
          <w:rPr>
            <w:noProof/>
            <w:webHidden/>
          </w:rPr>
        </w:r>
        <w:r w:rsidR="00255825">
          <w:rPr>
            <w:noProof/>
            <w:webHidden/>
          </w:rPr>
          <w:fldChar w:fldCharType="separate"/>
        </w:r>
        <w:r w:rsidR="00255825">
          <w:rPr>
            <w:noProof/>
            <w:webHidden/>
          </w:rPr>
          <w:t>69</w:t>
        </w:r>
        <w:r w:rsidR="00255825">
          <w:rPr>
            <w:noProof/>
            <w:webHidden/>
          </w:rPr>
          <w:fldChar w:fldCharType="end"/>
        </w:r>
      </w:hyperlink>
    </w:p>
    <w:p w14:paraId="470E49CF" w14:textId="31F46A2B" w:rsidR="00255825" w:rsidRDefault="00F50B6E">
      <w:pPr>
        <w:pStyle w:val="TOC1"/>
        <w:rPr>
          <w:rFonts w:asciiTheme="minorHAnsi" w:eastAsiaTheme="minorEastAsia" w:hAnsiTheme="minorHAnsi" w:cstheme="minorBidi"/>
          <w:noProof/>
          <w:sz w:val="22"/>
          <w:szCs w:val="22"/>
          <w:lang w:eastAsia="en-NZ"/>
        </w:rPr>
      </w:pPr>
      <w:hyperlink w:anchor="_Toc95742672" w:history="1">
        <w:r w:rsidR="00255825" w:rsidRPr="00EA65B2">
          <w:rPr>
            <w:rStyle w:val="Hyperlink"/>
            <w:noProof/>
          </w:rPr>
          <w:t>He Kupu Whakakapi Conclusion</w:t>
        </w:r>
        <w:r w:rsidR="00255825">
          <w:rPr>
            <w:noProof/>
            <w:webHidden/>
          </w:rPr>
          <w:tab/>
        </w:r>
        <w:r w:rsidR="00255825">
          <w:rPr>
            <w:noProof/>
            <w:webHidden/>
          </w:rPr>
          <w:fldChar w:fldCharType="begin"/>
        </w:r>
        <w:r w:rsidR="00255825">
          <w:rPr>
            <w:noProof/>
            <w:webHidden/>
          </w:rPr>
          <w:instrText xml:space="preserve"> PAGEREF _Toc95742672 \h </w:instrText>
        </w:r>
        <w:r w:rsidR="00255825">
          <w:rPr>
            <w:noProof/>
            <w:webHidden/>
          </w:rPr>
        </w:r>
        <w:r w:rsidR="00255825">
          <w:rPr>
            <w:noProof/>
            <w:webHidden/>
          </w:rPr>
          <w:fldChar w:fldCharType="separate"/>
        </w:r>
        <w:r w:rsidR="00255825">
          <w:rPr>
            <w:noProof/>
            <w:webHidden/>
          </w:rPr>
          <w:t>81</w:t>
        </w:r>
        <w:r w:rsidR="00255825">
          <w:rPr>
            <w:noProof/>
            <w:webHidden/>
          </w:rPr>
          <w:fldChar w:fldCharType="end"/>
        </w:r>
      </w:hyperlink>
    </w:p>
    <w:p w14:paraId="0A325668" w14:textId="15A2D78C" w:rsidR="00255825" w:rsidRDefault="00F50B6E">
      <w:pPr>
        <w:pStyle w:val="TOC1"/>
        <w:rPr>
          <w:rFonts w:asciiTheme="minorHAnsi" w:eastAsiaTheme="minorEastAsia" w:hAnsiTheme="minorHAnsi" w:cstheme="minorBidi"/>
          <w:noProof/>
          <w:sz w:val="22"/>
          <w:szCs w:val="22"/>
          <w:lang w:eastAsia="en-NZ"/>
        </w:rPr>
      </w:pPr>
      <w:hyperlink w:anchor="_Toc95742673" w:history="1">
        <w:r w:rsidR="00255825" w:rsidRPr="00EA65B2">
          <w:rPr>
            <w:rStyle w:val="Hyperlink"/>
            <w:noProof/>
          </w:rPr>
          <w:t>Ngā Tohutoro References</w:t>
        </w:r>
        <w:r w:rsidR="00255825">
          <w:rPr>
            <w:noProof/>
            <w:webHidden/>
          </w:rPr>
          <w:tab/>
        </w:r>
        <w:r w:rsidR="00255825">
          <w:rPr>
            <w:noProof/>
            <w:webHidden/>
          </w:rPr>
          <w:fldChar w:fldCharType="begin"/>
        </w:r>
        <w:r w:rsidR="00255825">
          <w:rPr>
            <w:noProof/>
            <w:webHidden/>
          </w:rPr>
          <w:instrText xml:space="preserve"> PAGEREF _Toc95742673 \h </w:instrText>
        </w:r>
        <w:r w:rsidR="00255825">
          <w:rPr>
            <w:noProof/>
            <w:webHidden/>
          </w:rPr>
        </w:r>
        <w:r w:rsidR="00255825">
          <w:rPr>
            <w:noProof/>
            <w:webHidden/>
          </w:rPr>
          <w:fldChar w:fldCharType="separate"/>
        </w:r>
        <w:r w:rsidR="00255825">
          <w:rPr>
            <w:noProof/>
            <w:webHidden/>
          </w:rPr>
          <w:t>84</w:t>
        </w:r>
        <w:r w:rsidR="00255825">
          <w:rPr>
            <w:noProof/>
            <w:webHidden/>
          </w:rPr>
          <w:fldChar w:fldCharType="end"/>
        </w:r>
      </w:hyperlink>
    </w:p>
    <w:p w14:paraId="66652957" w14:textId="48297CD7" w:rsidR="00C86248" w:rsidRPr="00B47C82" w:rsidRDefault="00255825">
      <w:r>
        <w:rPr>
          <w:rFonts w:ascii="Segoe UI Semibold" w:hAnsi="Segoe UI Semibold"/>
          <w:b/>
          <w:sz w:val="24"/>
        </w:rPr>
        <w:fldChar w:fldCharType="end"/>
      </w:r>
    </w:p>
    <w:p w14:paraId="51EFD76E" w14:textId="77777777" w:rsidR="002B76A7" w:rsidRPr="00B47C82" w:rsidRDefault="002B76A7" w:rsidP="002B76A7">
      <w:pPr>
        <w:pStyle w:val="TOC1"/>
        <w:keepNext/>
      </w:pPr>
      <w:r w:rsidRPr="00B47C82">
        <w:t>List of Tables</w:t>
      </w:r>
    </w:p>
    <w:p w14:paraId="79287538" w14:textId="77777777" w:rsidR="0088615C" w:rsidRDefault="002B76A7">
      <w:pPr>
        <w:pStyle w:val="TOC3"/>
        <w:rPr>
          <w:rFonts w:asciiTheme="minorHAnsi" w:eastAsiaTheme="minorEastAsia" w:hAnsiTheme="minorHAnsi" w:cstheme="minorBidi"/>
          <w:noProof/>
          <w:sz w:val="22"/>
          <w:szCs w:val="22"/>
          <w:lang w:eastAsia="en-NZ"/>
        </w:rPr>
      </w:pPr>
      <w:r w:rsidRPr="00B47C82">
        <w:fldChar w:fldCharType="begin"/>
      </w:r>
      <w:r w:rsidRPr="00B47C82">
        <w:instrText xml:space="preserve"> TOC \t "Table,3" </w:instrText>
      </w:r>
      <w:r w:rsidRPr="00B47C82">
        <w:fldChar w:fldCharType="separate"/>
      </w:r>
      <w:r w:rsidR="0088615C">
        <w:rPr>
          <w:noProof/>
        </w:rPr>
        <w:t>Table 1:</w:t>
      </w:r>
      <w:r w:rsidR="0088615C">
        <w:rPr>
          <w:noProof/>
        </w:rPr>
        <w:tab/>
        <w:t>Percentage of health loss attributable to leading modifiable risk factors, 2017</w:t>
      </w:r>
      <w:r w:rsidR="0088615C">
        <w:rPr>
          <w:noProof/>
        </w:rPr>
        <w:tab/>
      </w:r>
      <w:r w:rsidR="0088615C">
        <w:rPr>
          <w:noProof/>
        </w:rPr>
        <w:fldChar w:fldCharType="begin"/>
      </w:r>
      <w:r w:rsidR="0088615C">
        <w:rPr>
          <w:noProof/>
        </w:rPr>
        <w:instrText xml:space="preserve"> PAGEREF _Toc95059083 \h </w:instrText>
      </w:r>
      <w:r w:rsidR="0088615C">
        <w:rPr>
          <w:noProof/>
        </w:rPr>
      </w:r>
      <w:r w:rsidR="0088615C">
        <w:rPr>
          <w:noProof/>
        </w:rPr>
        <w:fldChar w:fldCharType="separate"/>
      </w:r>
      <w:r w:rsidR="006E6019">
        <w:rPr>
          <w:noProof/>
        </w:rPr>
        <w:t>8</w:t>
      </w:r>
      <w:r w:rsidR="0088615C">
        <w:rPr>
          <w:noProof/>
        </w:rPr>
        <w:fldChar w:fldCharType="end"/>
      </w:r>
    </w:p>
    <w:p w14:paraId="2025D284" w14:textId="77777777" w:rsidR="0088615C" w:rsidRDefault="0088615C">
      <w:pPr>
        <w:pStyle w:val="TOC3"/>
        <w:rPr>
          <w:rFonts w:asciiTheme="minorHAnsi" w:eastAsiaTheme="minorEastAsia" w:hAnsiTheme="minorHAnsi" w:cstheme="minorBidi"/>
          <w:noProof/>
          <w:sz w:val="22"/>
          <w:szCs w:val="22"/>
          <w:lang w:eastAsia="en-NZ"/>
        </w:rPr>
      </w:pPr>
      <w:r>
        <w:rPr>
          <w:noProof/>
        </w:rPr>
        <w:t>Table 2:</w:t>
      </w:r>
      <w:r>
        <w:rPr>
          <w:noProof/>
        </w:rPr>
        <w:tab/>
        <w:t>New Zealand Physical Activity Guidelines</w:t>
      </w:r>
      <w:r>
        <w:rPr>
          <w:noProof/>
        </w:rPr>
        <w:tab/>
      </w:r>
      <w:r>
        <w:rPr>
          <w:noProof/>
        </w:rPr>
        <w:fldChar w:fldCharType="begin"/>
      </w:r>
      <w:r>
        <w:rPr>
          <w:noProof/>
        </w:rPr>
        <w:instrText xml:space="preserve"> PAGEREF _Toc95059084 \h </w:instrText>
      </w:r>
      <w:r>
        <w:rPr>
          <w:noProof/>
        </w:rPr>
      </w:r>
      <w:r>
        <w:rPr>
          <w:noProof/>
        </w:rPr>
        <w:fldChar w:fldCharType="separate"/>
      </w:r>
      <w:r w:rsidR="006E6019">
        <w:rPr>
          <w:noProof/>
        </w:rPr>
        <w:t>44</w:t>
      </w:r>
      <w:r>
        <w:rPr>
          <w:noProof/>
        </w:rPr>
        <w:fldChar w:fldCharType="end"/>
      </w:r>
    </w:p>
    <w:p w14:paraId="6609DE74" w14:textId="77777777" w:rsidR="0088615C" w:rsidRDefault="0088615C">
      <w:pPr>
        <w:pStyle w:val="TOC3"/>
        <w:rPr>
          <w:rFonts w:asciiTheme="minorHAnsi" w:eastAsiaTheme="minorEastAsia" w:hAnsiTheme="minorHAnsi" w:cstheme="minorBidi"/>
          <w:noProof/>
          <w:sz w:val="22"/>
          <w:szCs w:val="22"/>
          <w:lang w:eastAsia="en-NZ"/>
        </w:rPr>
      </w:pPr>
      <w:r>
        <w:rPr>
          <w:noProof/>
        </w:rPr>
        <w:t>Table 3:</w:t>
      </w:r>
      <w:r>
        <w:rPr>
          <w:noProof/>
        </w:rPr>
        <w:tab/>
        <w:t>Peak ultraviolet index in Aotearoa averaged over one hour at solar noon</w:t>
      </w:r>
      <w:r>
        <w:rPr>
          <w:noProof/>
        </w:rPr>
        <w:tab/>
      </w:r>
      <w:r>
        <w:rPr>
          <w:noProof/>
        </w:rPr>
        <w:fldChar w:fldCharType="begin"/>
      </w:r>
      <w:r>
        <w:rPr>
          <w:noProof/>
        </w:rPr>
        <w:instrText xml:space="preserve"> PAGEREF _Toc95059085 \h </w:instrText>
      </w:r>
      <w:r>
        <w:rPr>
          <w:noProof/>
        </w:rPr>
      </w:r>
      <w:r>
        <w:rPr>
          <w:noProof/>
        </w:rPr>
        <w:fldChar w:fldCharType="separate"/>
      </w:r>
      <w:r w:rsidR="006E6019">
        <w:rPr>
          <w:noProof/>
        </w:rPr>
        <w:t>53</w:t>
      </w:r>
      <w:r>
        <w:rPr>
          <w:noProof/>
        </w:rPr>
        <w:fldChar w:fldCharType="end"/>
      </w:r>
    </w:p>
    <w:p w14:paraId="23A7F371" w14:textId="77777777" w:rsidR="002B76A7" w:rsidRPr="00B47C82" w:rsidRDefault="002B76A7" w:rsidP="003A5FEA">
      <w:r w:rsidRPr="00B47C82">
        <w:fldChar w:fldCharType="end"/>
      </w:r>
    </w:p>
    <w:p w14:paraId="7D32EDB8" w14:textId="77777777" w:rsidR="0033448B" w:rsidRPr="00B47C82" w:rsidRDefault="0033448B" w:rsidP="0033448B">
      <w:pPr>
        <w:pStyle w:val="TOC1"/>
        <w:keepNext/>
      </w:pPr>
      <w:r w:rsidRPr="00B47C82">
        <w:t>List of Figures</w:t>
      </w:r>
    </w:p>
    <w:p w14:paraId="25D6AA79" w14:textId="77777777" w:rsidR="00D336FB" w:rsidRDefault="0033448B" w:rsidP="00D336FB">
      <w:pPr>
        <w:pStyle w:val="TOC3"/>
        <w:keepNext/>
        <w:rPr>
          <w:rFonts w:asciiTheme="minorHAnsi" w:eastAsiaTheme="minorEastAsia" w:hAnsiTheme="minorHAnsi" w:cstheme="minorBidi"/>
          <w:noProof/>
          <w:sz w:val="22"/>
          <w:szCs w:val="22"/>
          <w:lang w:eastAsia="en-NZ"/>
        </w:rPr>
      </w:pPr>
      <w:r w:rsidRPr="00B47C82">
        <w:fldChar w:fldCharType="begin"/>
      </w:r>
      <w:r w:rsidRPr="00B47C82">
        <w:instrText xml:space="preserve"> TOC \t "Figure,3" </w:instrText>
      </w:r>
      <w:r w:rsidRPr="00B47C82">
        <w:fldChar w:fldCharType="separate"/>
      </w:r>
      <w:r w:rsidR="00D336FB">
        <w:rPr>
          <w:noProof/>
        </w:rPr>
        <w:t>Figure 1:</w:t>
      </w:r>
      <w:r w:rsidR="00D336FB">
        <w:rPr>
          <w:noProof/>
        </w:rPr>
        <w:tab/>
        <w:t>Incidence and mortality rates for Māori and non-Māori, non-Pacific, non-Asian by cancer type, 2007–2017</w:t>
      </w:r>
      <w:r w:rsidR="00D336FB">
        <w:rPr>
          <w:noProof/>
        </w:rPr>
        <w:tab/>
      </w:r>
      <w:r w:rsidR="00D336FB">
        <w:rPr>
          <w:noProof/>
        </w:rPr>
        <w:fldChar w:fldCharType="begin"/>
      </w:r>
      <w:r w:rsidR="00D336FB">
        <w:rPr>
          <w:noProof/>
        </w:rPr>
        <w:instrText xml:space="preserve"> PAGEREF _Toc95059122 \h </w:instrText>
      </w:r>
      <w:r w:rsidR="00D336FB">
        <w:rPr>
          <w:noProof/>
        </w:rPr>
      </w:r>
      <w:r w:rsidR="00D336FB">
        <w:rPr>
          <w:noProof/>
        </w:rPr>
        <w:fldChar w:fldCharType="separate"/>
      </w:r>
      <w:r w:rsidR="006E6019">
        <w:rPr>
          <w:noProof/>
        </w:rPr>
        <w:t>3</w:t>
      </w:r>
      <w:r w:rsidR="00D336FB">
        <w:rPr>
          <w:noProof/>
        </w:rPr>
        <w:fldChar w:fldCharType="end"/>
      </w:r>
    </w:p>
    <w:p w14:paraId="3756BCE6" w14:textId="77777777" w:rsidR="00D336FB" w:rsidRDefault="00D336FB" w:rsidP="00D336FB">
      <w:pPr>
        <w:pStyle w:val="TOC3"/>
        <w:keepNext/>
        <w:rPr>
          <w:rFonts w:asciiTheme="minorHAnsi" w:eastAsiaTheme="minorEastAsia" w:hAnsiTheme="minorHAnsi" w:cstheme="minorBidi"/>
          <w:noProof/>
          <w:sz w:val="22"/>
          <w:szCs w:val="22"/>
          <w:lang w:eastAsia="en-NZ"/>
        </w:rPr>
      </w:pPr>
      <w:r>
        <w:rPr>
          <w:noProof/>
        </w:rPr>
        <w:t>Figure 2:</w:t>
      </w:r>
      <w:r>
        <w:rPr>
          <w:noProof/>
        </w:rPr>
        <w:tab/>
        <w:t>Incidence and mortality rates for Pacific peoples and non-Māori, non</w:t>
      </w:r>
      <w:r>
        <w:rPr>
          <w:noProof/>
        </w:rPr>
        <w:noBreakHyphen/>
        <w:t>Pacific, non-Asian by cancer type, 2007–2017</w:t>
      </w:r>
      <w:r>
        <w:rPr>
          <w:noProof/>
        </w:rPr>
        <w:tab/>
      </w:r>
      <w:r>
        <w:rPr>
          <w:noProof/>
        </w:rPr>
        <w:fldChar w:fldCharType="begin"/>
      </w:r>
      <w:r>
        <w:rPr>
          <w:noProof/>
        </w:rPr>
        <w:instrText xml:space="preserve"> PAGEREF _Toc95059123 \h </w:instrText>
      </w:r>
      <w:r>
        <w:rPr>
          <w:noProof/>
        </w:rPr>
      </w:r>
      <w:r>
        <w:rPr>
          <w:noProof/>
        </w:rPr>
        <w:fldChar w:fldCharType="separate"/>
      </w:r>
      <w:r w:rsidR="006E6019">
        <w:rPr>
          <w:noProof/>
        </w:rPr>
        <w:t>3</w:t>
      </w:r>
      <w:r>
        <w:rPr>
          <w:noProof/>
        </w:rPr>
        <w:fldChar w:fldCharType="end"/>
      </w:r>
    </w:p>
    <w:p w14:paraId="15998E56" w14:textId="77777777" w:rsidR="00D336FB" w:rsidRDefault="00D336FB" w:rsidP="00D336FB">
      <w:pPr>
        <w:pStyle w:val="TOC3"/>
        <w:keepNext/>
        <w:rPr>
          <w:rFonts w:asciiTheme="minorHAnsi" w:eastAsiaTheme="minorEastAsia" w:hAnsiTheme="minorHAnsi" w:cstheme="minorBidi"/>
          <w:noProof/>
          <w:sz w:val="22"/>
          <w:szCs w:val="22"/>
          <w:lang w:eastAsia="en-NZ"/>
        </w:rPr>
      </w:pPr>
      <w:r>
        <w:rPr>
          <w:noProof/>
        </w:rPr>
        <w:t>Figure 3:</w:t>
      </w:r>
      <w:r>
        <w:rPr>
          <w:noProof/>
        </w:rPr>
        <w:tab/>
        <w:t>Influences on a person’s health</w:t>
      </w:r>
      <w:r>
        <w:rPr>
          <w:noProof/>
        </w:rPr>
        <w:tab/>
      </w:r>
      <w:r>
        <w:rPr>
          <w:noProof/>
        </w:rPr>
        <w:fldChar w:fldCharType="begin"/>
      </w:r>
      <w:r>
        <w:rPr>
          <w:noProof/>
        </w:rPr>
        <w:instrText xml:space="preserve"> PAGEREF _Toc95059124 \h </w:instrText>
      </w:r>
      <w:r>
        <w:rPr>
          <w:noProof/>
        </w:rPr>
      </w:r>
      <w:r>
        <w:rPr>
          <w:noProof/>
        </w:rPr>
        <w:fldChar w:fldCharType="separate"/>
      </w:r>
      <w:r w:rsidR="006E6019">
        <w:rPr>
          <w:noProof/>
        </w:rPr>
        <w:t>5</w:t>
      </w:r>
      <w:r>
        <w:rPr>
          <w:noProof/>
        </w:rPr>
        <w:fldChar w:fldCharType="end"/>
      </w:r>
    </w:p>
    <w:p w14:paraId="3EF6375C" w14:textId="77777777" w:rsidR="00D336FB" w:rsidRDefault="00D336FB" w:rsidP="00D336FB">
      <w:pPr>
        <w:pStyle w:val="TOC3"/>
        <w:keepNext/>
        <w:rPr>
          <w:rFonts w:asciiTheme="minorHAnsi" w:eastAsiaTheme="minorEastAsia" w:hAnsiTheme="minorHAnsi" w:cstheme="minorBidi"/>
          <w:noProof/>
          <w:sz w:val="22"/>
          <w:szCs w:val="22"/>
          <w:lang w:eastAsia="en-NZ"/>
        </w:rPr>
      </w:pPr>
      <w:r>
        <w:rPr>
          <w:noProof/>
        </w:rPr>
        <w:t>Figure 4:</w:t>
      </w:r>
      <w:r>
        <w:rPr>
          <w:noProof/>
        </w:rPr>
        <w:tab/>
        <w:t>Cancers related to tobacco</w:t>
      </w:r>
      <w:r>
        <w:rPr>
          <w:noProof/>
        </w:rPr>
        <w:tab/>
      </w:r>
      <w:r>
        <w:rPr>
          <w:noProof/>
        </w:rPr>
        <w:fldChar w:fldCharType="begin"/>
      </w:r>
      <w:r>
        <w:rPr>
          <w:noProof/>
        </w:rPr>
        <w:instrText xml:space="preserve"> PAGEREF _Toc95059125 \h </w:instrText>
      </w:r>
      <w:r>
        <w:rPr>
          <w:noProof/>
        </w:rPr>
      </w:r>
      <w:r>
        <w:rPr>
          <w:noProof/>
        </w:rPr>
        <w:fldChar w:fldCharType="separate"/>
      </w:r>
      <w:r w:rsidR="006E6019">
        <w:rPr>
          <w:noProof/>
        </w:rPr>
        <w:t>11</w:t>
      </w:r>
      <w:r>
        <w:rPr>
          <w:noProof/>
        </w:rPr>
        <w:fldChar w:fldCharType="end"/>
      </w:r>
    </w:p>
    <w:p w14:paraId="06B68E28" w14:textId="77777777" w:rsidR="00D336FB" w:rsidRDefault="00D336FB" w:rsidP="00D336FB">
      <w:pPr>
        <w:pStyle w:val="TOC3"/>
        <w:keepNext/>
        <w:rPr>
          <w:rFonts w:asciiTheme="minorHAnsi" w:eastAsiaTheme="minorEastAsia" w:hAnsiTheme="minorHAnsi" w:cstheme="minorBidi"/>
          <w:noProof/>
          <w:sz w:val="22"/>
          <w:szCs w:val="22"/>
          <w:lang w:eastAsia="en-NZ"/>
        </w:rPr>
      </w:pPr>
      <w:r>
        <w:rPr>
          <w:noProof/>
        </w:rPr>
        <w:t>Figure 5:</w:t>
      </w:r>
      <w:r>
        <w:rPr>
          <w:noProof/>
        </w:rPr>
        <w:tab/>
        <w:t>Current smokers in Aotearoa, 1983–2019</w:t>
      </w:r>
      <w:r>
        <w:rPr>
          <w:noProof/>
        </w:rPr>
        <w:tab/>
      </w:r>
      <w:r>
        <w:rPr>
          <w:noProof/>
        </w:rPr>
        <w:fldChar w:fldCharType="begin"/>
      </w:r>
      <w:r>
        <w:rPr>
          <w:noProof/>
        </w:rPr>
        <w:instrText xml:space="preserve"> PAGEREF _Toc95059126 \h </w:instrText>
      </w:r>
      <w:r>
        <w:rPr>
          <w:noProof/>
        </w:rPr>
      </w:r>
      <w:r>
        <w:rPr>
          <w:noProof/>
        </w:rPr>
        <w:fldChar w:fldCharType="separate"/>
      </w:r>
      <w:r w:rsidR="006E6019">
        <w:rPr>
          <w:noProof/>
        </w:rPr>
        <w:t>12</w:t>
      </w:r>
      <w:r>
        <w:rPr>
          <w:noProof/>
        </w:rPr>
        <w:fldChar w:fldCharType="end"/>
      </w:r>
    </w:p>
    <w:p w14:paraId="24783DD2" w14:textId="77777777" w:rsidR="00D336FB" w:rsidRDefault="00D336FB">
      <w:pPr>
        <w:pStyle w:val="TOC3"/>
        <w:rPr>
          <w:rFonts w:asciiTheme="minorHAnsi" w:eastAsiaTheme="minorEastAsia" w:hAnsiTheme="minorHAnsi" w:cstheme="minorBidi"/>
          <w:noProof/>
          <w:sz w:val="22"/>
          <w:szCs w:val="22"/>
          <w:lang w:eastAsia="en-NZ"/>
        </w:rPr>
      </w:pPr>
      <w:r>
        <w:rPr>
          <w:noProof/>
        </w:rPr>
        <w:t>Figure 6:</w:t>
      </w:r>
      <w:r>
        <w:rPr>
          <w:noProof/>
        </w:rPr>
        <w:tab/>
        <w:t>Daily smoking trends in adults (aged 15 years and older) by ethnicity, 2006/07–2019/20</w:t>
      </w:r>
      <w:r>
        <w:rPr>
          <w:noProof/>
        </w:rPr>
        <w:tab/>
      </w:r>
      <w:r>
        <w:rPr>
          <w:noProof/>
        </w:rPr>
        <w:fldChar w:fldCharType="begin"/>
      </w:r>
      <w:r>
        <w:rPr>
          <w:noProof/>
        </w:rPr>
        <w:instrText xml:space="preserve"> PAGEREF _Toc95059127 \h </w:instrText>
      </w:r>
      <w:r>
        <w:rPr>
          <w:noProof/>
        </w:rPr>
      </w:r>
      <w:r>
        <w:rPr>
          <w:noProof/>
        </w:rPr>
        <w:fldChar w:fldCharType="separate"/>
      </w:r>
      <w:r w:rsidR="006E6019">
        <w:rPr>
          <w:noProof/>
        </w:rPr>
        <w:t>12</w:t>
      </w:r>
      <w:r>
        <w:rPr>
          <w:noProof/>
        </w:rPr>
        <w:fldChar w:fldCharType="end"/>
      </w:r>
    </w:p>
    <w:p w14:paraId="33E857FD" w14:textId="77777777" w:rsidR="00D336FB" w:rsidRDefault="00D336FB">
      <w:pPr>
        <w:pStyle w:val="TOC3"/>
        <w:rPr>
          <w:rFonts w:asciiTheme="minorHAnsi" w:eastAsiaTheme="minorEastAsia" w:hAnsiTheme="minorHAnsi" w:cstheme="minorBidi"/>
          <w:noProof/>
          <w:sz w:val="22"/>
          <w:szCs w:val="22"/>
          <w:lang w:eastAsia="en-NZ"/>
        </w:rPr>
      </w:pPr>
      <w:r>
        <w:rPr>
          <w:noProof/>
        </w:rPr>
        <w:t>Figure 7:</w:t>
      </w:r>
      <w:r>
        <w:rPr>
          <w:noProof/>
        </w:rPr>
        <w:tab/>
        <w:t>Daily smoking trends in adults (aged 15 years and older) by neighbourhood deprivation, 2019/20</w:t>
      </w:r>
      <w:r>
        <w:rPr>
          <w:noProof/>
        </w:rPr>
        <w:tab/>
      </w:r>
      <w:r>
        <w:rPr>
          <w:noProof/>
        </w:rPr>
        <w:fldChar w:fldCharType="begin"/>
      </w:r>
      <w:r>
        <w:rPr>
          <w:noProof/>
        </w:rPr>
        <w:instrText xml:space="preserve"> PAGEREF _Toc95059128 \h </w:instrText>
      </w:r>
      <w:r>
        <w:rPr>
          <w:noProof/>
        </w:rPr>
      </w:r>
      <w:r>
        <w:rPr>
          <w:noProof/>
        </w:rPr>
        <w:fldChar w:fldCharType="separate"/>
      </w:r>
      <w:r w:rsidR="006E6019">
        <w:rPr>
          <w:noProof/>
        </w:rPr>
        <w:t>13</w:t>
      </w:r>
      <w:r>
        <w:rPr>
          <w:noProof/>
        </w:rPr>
        <w:fldChar w:fldCharType="end"/>
      </w:r>
    </w:p>
    <w:p w14:paraId="73844F50" w14:textId="77777777" w:rsidR="00D336FB" w:rsidRDefault="00D336FB">
      <w:pPr>
        <w:pStyle w:val="TOC3"/>
        <w:rPr>
          <w:rFonts w:asciiTheme="minorHAnsi" w:eastAsiaTheme="minorEastAsia" w:hAnsiTheme="minorHAnsi" w:cstheme="minorBidi"/>
          <w:noProof/>
          <w:sz w:val="22"/>
          <w:szCs w:val="22"/>
          <w:lang w:eastAsia="en-NZ"/>
        </w:rPr>
      </w:pPr>
      <w:r>
        <w:rPr>
          <w:noProof/>
        </w:rPr>
        <w:t>Figure 8:</w:t>
      </w:r>
      <w:r>
        <w:rPr>
          <w:noProof/>
        </w:rPr>
        <w:tab/>
        <w:t>Cancers related to alcohol</w:t>
      </w:r>
      <w:r>
        <w:rPr>
          <w:noProof/>
        </w:rPr>
        <w:tab/>
      </w:r>
      <w:r>
        <w:rPr>
          <w:noProof/>
        </w:rPr>
        <w:fldChar w:fldCharType="begin"/>
      </w:r>
      <w:r>
        <w:rPr>
          <w:noProof/>
        </w:rPr>
        <w:instrText xml:space="preserve"> PAGEREF _Toc95059129 \h </w:instrText>
      </w:r>
      <w:r>
        <w:rPr>
          <w:noProof/>
        </w:rPr>
      </w:r>
      <w:r>
        <w:rPr>
          <w:noProof/>
        </w:rPr>
        <w:fldChar w:fldCharType="separate"/>
      </w:r>
      <w:r w:rsidR="006E6019">
        <w:rPr>
          <w:noProof/>
        </w:rPr>
        <w:t>19</w:t>
      </w:r>
      <w:r>
        <w:rPr>
          <w:noProof/>
        </w:rPr>
        <w:fldChar w:fldCharType="end"/>
      </w:r>
    </w:p>
    <w:p w14:paraId="35E39810" w14:textId="77777777" w:rsidR="00D336FB" w:rsidRDefault="00D336FB">
      <w:pPr>
        <w:pStyle w:val="TOC3"/>
        <w:rPr>
          <w:rFonts w:asciiTheme="minorHAnsi" w:eastAsiaTheme="minorEastAsia" w:hAnsiTheme="minorHAnsi" w:cstheme="minorBidi"/>
          <w:noProof/>
          <w:sz w:val="22"/>
          <w:szCs w:val="22"/>
          <w:lang w:eastAsia="en-NZ"/>
        </w:rPr>
      </w:pPr>
      <w:r>
        <w:rPr>
          <w:noProof/>
        </w:rPr>
        <w:t>Figure 9:</w:t>
      </w:r>
      <w:r>
        <w:rPr>
          <w:noProof/>
        </w:rPr>
        <w:tab/>
        <w:t>Estimated proportion of new cases in 2020 attributable to alcohol drinking, Aotearoa, both sexes</w:t>
      </w:r>
      <w:r>
        <w:rPr>
          <w:noProof/>
        </w:rPr>
        <w:tab/>
      </w:r>
      <w:r>
        <w:rPr>
          <w:noProof/>
        </w:rPr>
        <w:fldChar w:fldCharType="begin"/>
      </w:r>
      <w:r>
        <w:rPr>
          <w:noProof/>
        </w:rPr>
        <w:instrText xml:space="preserve"> PAGEREF _Toc95059130 \h </w:instrText>
      </w:r>
      <w:r>
        <w:rPr>
          <w:noProof/>
        </w:rPr>
      </w:r>
      <w:r>
        <w:rPr>
          <w:noProof/>
        </w:rPr>
        <w:fldChar w:fldCharType="separate"/>
      </w:r>
      <w:r w:rsidR="006E6019">
        <w:rPr>
          <w:noProof/>
        </w:rPr>
        <w:t>20</w:t>
      </w:r>
      <w:r>
        <w:rPr>
          <w:noProof/>
        </w:rPr>
        <w:fldChar w:fldCharType="end"/>
      </w:r>
    </w:p>
    <w:p w14:paraId="774D7C25" w14:textId="77777777" w:rsidR="00D336FB" w:rsidRDefault="00D336FB">
      <w:pPr>
        <w:pStyle w:val="TOC3"/>
        <w:rPr>
          <w:rFonts w:asciiTheme="minorHAnsi" w:eastAsiaTheme="minorEastAsia" w:hAnsiTheme="minorHAnsi" w:cstheme="minorBidi"/>
          <w:noProof/>
          <w:sz w:val="22"/>
          <w:szCs w:val="22"/>
          <w:lang w:eastAsia="en-NZ"/>
        </w:rPr>
      </w:pPr>
      <w:r>
        <w:rPr>
          <w:noProof/>
        </w:rPr>
        <w:t>Figure 10:</w:t>
      </w:r>
      <w:r>
        <w:rPr>
          <w:noProof/>
        </w:rPr>
        <w:tab/>
        <w:t>Patterns of alcohol use in Aotearoa, 2019/20</w:t>
      </w:r>
      <w:r>
        <w:rPr>
          <w:noProof/>
        </w:rPr>
        <w:tab/>
      </w:r>
      <w:r>
        <w:rPr>
          <w:noProof/>
        </w:rPr>
        <w:fldChar w:fldCharType="begin"/>
      </w:r>
      <w:r>
        <w:rPr>
          <w:noProof/>
        </w:rPr>
        <w:instrText xml:space="preserve"> PAGEREF _Toc95059131 \h </w:instrText>
      </w:r>
      <w:r>
        <w:rPr>
          <w:noProof/>
        </w:rPr>
      </w:r>
      <w:r>
        <w:rPr>
          <w:noProof/>
        </w:rPr>
        <w:fldChar w:fldCharType="separate"/>
      </w:r>
      <w:r w:rsidR="006E6019">
        <w:rPr>
          <w:noProof/>
        </w:rPr>
        <w:t>21</w:t>
      </w:r>
      <w:r>
        <w:rPr>
          <w:noProof/>
        </w:rPr>
        <w:fldChar w:fldCharType="end"/>
      </w:r>
    </w:p>
    <w:p w14:paraId="72A08B94" w14:textId="77777777" w:rsidR="00D336FB" w:rsidRDefault="00D336FB">
      <w:pPr>
        <w:pStyle w:val="TOC3"/>
        <w:rPr>
          <w:rFonts w:asciiTheme="minorHAnsi" w:eastAsiaTheme="minorEastAsia" w:hAnsiTheme="minorHAnsi" w:cstheme="minorBidi"/>
          <w:noProof/>
          <w:sz w:val="22"/>
          <w:szCs w:val="22"/>
          <w:lang w:eastAsia="en-NZ"/>
        </w:rPr>
      </w:pPr>
      <w:r>
        <w:rPr>
          <w:noProof/>
        </w:rPr>
        <w:lastRenderedPageBreak/>
        <w:t>Figure 11:</w:t>
      </w:r>
      <w:r>
        <w:rPr>
          <w:noProof/>
        </w:rPr>
        <w:tab/>
        <w:t>Low-risk drinking advice</w:t>
      </w:r>
      <w:r>
        <w:rPr>
          <w:noProof/>
        </w:rPr>
        <w:tab/>
      </w:r>
      <w:r>
        <w:rPr>
          <w:noProof/>
        </w:rPr>
        <w:fldChar w:fldCharType="begin"/>
      </w:r>
      <w:r>
        <w:rPr>
          <w:noProof/>
        </w:rPr>
        <w:instrText xml:space="preserve"> PAGEREF _Toc95059132 \h </w:instrText>
      </w:r>
      <w:r>
        <w:rPr>
          <w:noProof/>
        </w:rPr>
      </w:r>
      <w:r>
        <w:rPr>
          <w:noProof/>
        </w:rPr>
        <w:fldChar w:fldCharType="separate"/>
      </w:r>
      <w:r w:rsidR="006E6019">
        <w:rPr>
          <w:noProof/>
        </w:rPr>
        <w:t>21</w:t>
      </w:r>
      <w:r>
        <w:rPr>
          <w:noProof/>
        </w:rPr>
        <w:fldChar w:fldCharType="end"/>
      </w:r>
    </w:p>
    <w:p w14:paraId="14179B96" w14:textId="77777777" w:rsidR="00D336FB" w:rsidRDefault="00D336FB">
      <w:pPr>
        <w:pStyle w:val="TOC3"/>
        <w:rPr>
          <w:rFonts w:asciiTheme="minorHAnsi" w:eastAsiaTheme="minorEastAsia" w:hAnsiTheme="minorHAnsi" w:cstheme="minorBidi"/>
          <w:noProof/>
          <w:sz w:val="22"/>
          <w:szCs w:val="22"/>
          <w:lang w:eastAsia="en-NZ"/>
        </w:rPr>
      </w:pPr>
      <w:r>
        <w:rPr>
          <w:noProof/>
        </w:rPr>
        <w:t>Figure 12:</w:t>
      </w:r>
      <w:r>
        <w:rPr>
          <w:noProof/>
        </w:rPr>
        <w:tab/>
        <w:t>Volume of alcoholic beverages available for consumption in Aotearoa, by type, 2005–2020</w:t>
      </w:r>
      <w:r>
        <w:rPr>
          <w:noProof/>
        </w:rPr>
        <w:tab/>
      </w:r>
      <w:r>
        <w:rPr>
          <w:noProof/>
        </w:rPr>
        <w:fldChar w:fldCharType="begin"/>
      </w:r>
      <w:r>
        <w:rPr>
          <w:noProof/>
        </w:rPr>
        <w:instrText xml:space="preserve"> PAGEREF _Toc95059133 \h </w:instrText>
      </w:r>
      <w:r>
        <w:rPr>
          <w:noProof/>
        </w:rPr>
      </w:r>
      <w:r>
        <w:rPr>
          <w:noProof/>
        </w:rPr>
        <w:fldChar w:fldCharType="separate"/>
      </w:r>
      <w:r w:rsidR="006E6019">
        <w:rPr>
          <w:noProof/>
        </w:rPr>
        <w:t>22</w:t>
      </w:r>
      <w:r>
        <w:rPr>
          <w:noProof/>
        </w:rPr>
        <w:fldChar w:fldCharType="end"/>
      </w:r>
    </w:p>
    <w:p w14:paraId="68B895D8" w14:textId="77777777" w:rsidR="00D336FB" w:rsidRDefault="00D336FB">
      <w:pPr>
        <w:pStyle w:val="TOC3"/>
        <w:rPr>
          <w:rFonts w:asciiTheme="minorHAnsi" w:eastAsiaTheme="minorEastAsia" w:hAnsiTheme="minorHAnsi" w:cstheme="minorBidi"/>
          <w:noProof/>
          <w:sz w:val="22"/>
          <w:szCs w:val="22"/>
          <w:lang w:eastAsia="en-NZ"/>
        </w:rPr>
      </w:pPr>
      <w:r>
        <w:rPr>
          <w:noProof/>
        </w:rPr>
        <w:t>Figure 13:</w:t>
      </w:r>
      <w:r>
        <w:rPr>
          <w:noProof/>
        </w:rPr>
        <w:tab/>
        <w:t>Alcohol use prevalence trends, 2006/07–2019/20</w:t>
      </w:r>
      <w:r>
        <w:rPr>
          <w:noProof/>
        </w:rPr>
        <w:tab/>
      </w:r>
      <w:r>
        <w:rPr>
          <w:noProof/>
        </w:rPr>
        <w:fldChar w:fldCharType="begin"/>
      </w:r>
      <w:r>
        <w:rPr>
          <w:noProof/>
        </w:rPr>
        <w:instrText xml:space="preserve"> PAGEREF _Toc95059134 \h </w:instrText>
      </w:r>
      <w:r>
        <w:rPr>
          <w:noProof/>
        </w:rPr>
      </w:r>
      <w:r>
        <w:rPr>
          <w:noProof/>
        </w:rPr>
        <w:fldChar w:fldCharType="separate"/>
      </w:r>
      <w:r w:rsidR="006E6019">
        <w:rPr>
          <w:noProof/>
        </w:rPr>
        <w:t>22</w:t>
      </w:r>
      <w:r>
        <w:rPr>
          <w:noProof/>
        </w:rPr>
        <w:fldChar w:fldCharType="end"/>
      </w:r>
    </w:p>
    <w:p w14:paraId="0C595CD5" w14:textId="77777777" w:rsidR="00D336FB" w:rsidRDefault="00D336FB">
      <w:pPr>
        <w:pStyle w:val="TOC3"/>
        <w:rPr>
          <w:rFonts w:asciiTheme="minorHAnsi" w:eastAsiaTheme="minorEastAsia" w:hAnsiTheme="minorHAnsi" w:cstheme="minorBidi"/>
          <w:noProof/>
          <w:sz w:val="22"/>
          <w:szCs w:val="22"/>
          <w:lang w:eastAsia="en-NZ"/>
        </w:rPr>
      </w:pPr>
      <w:r>
        <w:rPr>
          <w:noProof/>
        </w:rPr>
        <w:t>Figure 14:</w:t>
      </w:r>
      <w:r>
        <w:rPr>
          <w:noProof/>
        </w:rPr>
        <w:tab/>
        <w:t>Percentage of adults (aged 15 years and older) using alcohol by ethnicity, 2019/20</w:t>
      </w:r>
      <w:r>
        <w:rPr>
          <w:noProof/>
        </w:rPr>
        <w:tab/>
      </w:r>
      <w:r>
        <w:rPr>
          <w:noProof/>
        </w:rPr>
        <w:fldChar w:fldCharType="begin"/>
      </w:r>
      <w:r>
        <w:rPr>
          <w:noProof/>
        </w:rPr>
        <w:instrText xml:space="preserve"> PAGEREF _Toc95059135 \h </w:instrText>
      </w:r>
      <w:r>
        <w:rPr>
          <w:noProof/>
        </w:rPr>
      </w:r>
      <w:r>
        <w:rPr>
          <w:noProof/>
        </w:rPr>
        <w:fldChar w:fldCharType="separate"/>
      </w:r>
      <w:r w:rsidR="006E6019">
        <w:rPr>
          <w:noProof/>
        </w:rPr>
        <w:t>23</w:t>
      </w:r>
      <w:r>
        <w:rPr>
          <w:noProof/>
        </w:rPr>
        <w:fldChar w:fldCharType="end"/>
      </w:r>
    </w:p>
    <w:p w14:paraId="5B4B174B" w14:textId="77777777" w:rsidR="00D336FB" w:rsidRDefault="00D336FB">
      <w:pPr>
        <w:pStyle w:val="TOC3"/>
        <w:rPr>
          <w:rFonts w:asciiTheme="minorHAnsi" w:eastAsiaTheme="minorEastAsia" w:hAnsiTheme="minorHAnsi" w:cstheme="minorBidi"/>
          <w:noProof/>
          <w:sz w:val="22"/>
          <w:szCs w:val="22"/>
          <w:lang w:eastAsia="en-NZ"/>
        </w:rPr>
      </w:pPr>
      <w:r>
        <w:rPr>
          <w:noProof/>
        </w:rPr>
        <w:t>Figure 15:</w:t>
      </w:r>
      <w:r>
        <w:rPr>
          <w:noProof/>
        </w:rPr>
        <w:tab/>
        <w:t>Percentage of adults (aged 15 years and older) using alcohol by neighbourhood deprivation, 2019/20</w:t>
      </w:r>
      <w:r>
        <w:rPr>
          <w:noProof/>
        </w:rPr>
        <w:tab/>
      </w:r>
      <w:r>
        <w:rPr>
          <w:noProof/>
        </w:rPr>
        <w:fldChar w:fldCharType="begin"/>
      </w:r>
      <w:r>
        <w:rPr>
          <w:noProof/>
        </w:rPr>
        <w:instrText xml:space="preserve"> PAGEREF _Toc95059136 \h </w:instrText>
      </w:r>
      <w:r>
        <w:rPr>
          <w:noProof/>
        </w:rPr>
      </w:r>
      <w:r>
        <w:rPr>
          <w:noProof/>
        </w:rPr>
        <w:fldChar w:fldCharType="separate"/>
      </w:r>
      <w:r w:rsidR="006E6019">
        <w:rPr>
          <w:noProof/>
        </w:rPr>
        <w:t>23</w:t>
      </w:r>
      <w:r>
        <w:rPr>
          <w:noProof/>
        </w:rPr>
        <w:fldChar w:fldCharType="end"/>
      </w:r>
    </w:p>
    <w:p w14:paraId="6AC96FC3" w14:textId="77777777" w:rsidR="00D336FB" w:rsidRDefault="00D336FB">
      <w:pPr>
        <w:pStyle w:val="TOC3"/>
        <w:rPr>
          <w:rFonts w:asciiTheme="minorHAnsi" w:eastAsiaTheme="minorEastAsia" w:hAnsiTheme="minorHAnsi" w:cstheme="minorBidi"/>
          <w:noProof/>
          <w:sz w:val="22"/>
          <w:szCs w:val="22"/>
          <w:lang w:eastAsia="en-NZ"/>
        </w:rPr>
      </w:pPr>
      <w:r>
        <w:rPr>
          <w:noProof/>
        </w:rPr>
        <w:t>Figure 16:</w:t>
      </w:r>
      <w:r>
        <w:rPr>
          <w:noProof/>
        </w:rPr>
        <w:tab/>
        <w:t>Association between diet and risk of cancer</w:t>
      </w:r>
      <w:r>
        <w:rPr>
          <w:noProof/>
        </w:rPr>
        <w:tab/>
      </w:r>
      <w:r>
        <w:rPr>
          <w:noProof/>
        </w:rPr>
        <w:fldChar w:fldCharType="begin"/>
      </w:r>
      <w:r>
        <w:rPr>
          <w:noProof/>
        </w:rPr>
        <w:instrText xml:space="preserve"> PAGEREF _Toc95059137 \h </w:instrText>
      </w:r>
      <w:r>
        <w:rPr>
          <w:noProof/>
        </w:rPr>
      </w:r>
      <w:r>
        <w:rPr>
          <w:noProof/>
        </w:rPr>
        <w:fldChar w:fldCharType="separate"/>
      </w:r>
      <w:r w:rsidR="006E6019">
        <w:rPr>
          <w:noProof/>
        </w:rPr>
        <w:t>31</w:t>
      </w:r>
      <w:r>
        <w:rPr>
          <w:noProof/>
        </w:rPr>
        <w:fldChar w:fldCharType="end"/>
      </w:r>
    </w:p>
    <w:p w14:paraId="4CD16BAC" w14:textId="77777777" w:rsidR="00D336FB" w:rsidRDefault="00D336FB">
      <w:pPr>
        <w:pStyle w:val="TOC3"/>
        <w:rPr>
          <w:rFonts w:asciiTheme="minorHAnsi" w:eastAsiaTheme="minorEastAsia" w:hAnsiTheme="minorHAnsi" w:cstheme="minorBidi"/>
          <w:noProof/>
          <w:sz w:val="22"/>
          <w:szCs w:val="22"/>
          <w:lang w:eastAsia="en-NZ"/>
        </w:rPr>
      </w:pPr>
      <w:r>
        <w:rPr>
          <w:noProof/>
        </w:rPr>
        <w:t>Figure 17:</w:t>
      </w:r>
      <w:r>
        <w:rPr>
          <w:noProof/>
        </w:rPr>
        <w:tab/>
        <w:t>Cancers related to excess body weight</w:t>
      </w:r>
      <w:r>
        <w:rPr>
          <w:noProof/>
        </w:rPr>
        <w:tab/>
      </w:r>
      <w:r>
        <w:rPr>
          <w:noProof/>
        </w:rPr>
        <w:fldChar w:fldCharType="begin"/>
      </w:r>
      <w:r>
        <w:rPr>
          <w:noProof/>
        </w:rPr>
        <w:instrText xml:space="preserve"> PAGEREF _Toc95059138 \h </w:instrText>
      </w:r>
      <w:r>
        <w:rPr>
          <w:noProof/>
        </w:rPr>
      </w:r>
      <w:r>
        <w:rPr>
          <w:noProof/>
        </w:rPr>
        <w:fldChar w:fldCharType="separate"/>
      </w:r>
      <w:r w:rsidR="006E6019">
        <w:rPr>
          <w:noProof/>
        </w:rPr>
        <w:t>31</w:t>
      </w:r>
      <w:r>
        <w:rPr>
          <w:noProof/>
        </w:rPr>
        <w:fldChar w:fldCharType="end"/>
      </w:r>
    </w:p>
    <w:p w14:paraId="191C8B9D" w14:textId="77777777" w:rsidR="00D336FB" w:rsidRDefault="00D336FB">
      <w:pPr>
        <w:pStyle w:val="TOC3"/>
        <w:rPr>
          <w:rFonts w:asciiTheme="minorHAnsi" w:eastAsiaTheme="minorEastAsia" w:hAnsiTheme="minorHAnsi" w:cstheme="minorBidi"/>
          <w:noProof/>
          <w:sz w:val="22"/>
          <w:szCs w:val="22"/>
          <w:lang w:eastAsia="en-NZ"/>
        </w:rPr>
      </w:pPr>
      <w:r>
        <w:rPr>
          <w:noProof/>
        </w:rPr>
        <w:t>Figure 18:</w:t>
      </w:r>
      <w:r>
        <w:rPr>
          <w:noProof/>
        </w:rPr>
        <w:tab/>
        <w:t>Patterns of vegetable and fruit consumption in Aotearoa, 2019/20</w:t>
      </w:r>
      <w:r>
        <w:rPr>
          <w:noProof/>
        </w:rPr>
        <w:tab/>
      </w:r>
      <w:r>
        <w:rPr>
          <w:noProof/>
        </w:rPr>
        <w:fldChar w:fldCharType="begin"/>
      </w:r>
      <w:r>
        <w:rPr>
          <w:noProof/>
        </w:rPr>
        <w:instrText xml:space="preserve"> PAGEREF _Toc95059139 \h </w:instrText>
      </w:r>
      <w:r>
        <w:rPr>
          <w:noProof/>
        </w:rPr>
      </w:r>
      <w:r>
        <w:rPr>
          <w:noProof/>
        </w:rPr>
        <w:fldChar w:fldCharType="separate"/>
      </w:r>
      <w:r w:rsidR="006E6019">
        <w:rPr>
          <w:noProof/>
        </w:rPr>
        <w:t>32</w:t>
      </w:r>
      <w:r>
        <w:rPr>
          <w:noProof/>
        </w:rPr>
        <w:fldChar w:fldCharType="end"/>
      </w:r>
    </w:p>
    <w:p w14:paraId="7724CF9D" w14:textId="77777777" w:rsidR="00D336FB" w:rsidRDefault="00D336FB">
      <w:pPr>
        <w:pStyle w:val="TOC3"/>
        <w:rPr>
          <w:rFonts w:asciiTheme="minorHAnsi" w:eastAsiaTheme="minorEastAsia" w:hAnsiTheme="minorHAnsi" w:cstheme="minorBidi"/>
          <w:noProof/>
          <w:sz w:val="22"/>
          <w:szCs w:val="22"/>
          <w:lang w:eastAsia="en-NZ"/>
        </w:rPr>
      </w:pPr>
      <w:r>
        <w:rPr>
          <w:noProof/>
        </w:rPr>
        <w:t>Figure 19:</w:t>
      </w:r>
      <w:r>
        <w:rPr>
          <w:noProof/>
        </w:rPr>
        <w:tab/>
        <w:t>Recommended number of servings per day for adults (updated guidelines, December 2020)</w:t>
      </w:r>
      <w:r>
        <w:rPr>
          <w:noProof/>
        </w:rPr>
        <w:tab/>
      </w:r>
      <w:r>
        <w:rPr>
          <w:noProof/>
        </w:rPr>
        <w:fldChar w:fldCharType="begin"/>
      </w:r>
      <w:r>
        <w:rPr>
          <w:noProof/>
        </w:rPr>
        <w:instrText xml:space="preserve"> PAGEREF _Toc95059140 \h </w:instrText>
      </w:r>
      <w:r>
        <w:rPr>
          <w:noProof/>
        </w:rPr>
      </w:r>
      <w:r>
        <w:rPr>
          <w:noProof/>
        </w:rPr>
        <w:fldChar w:fldCharType="separate"/>
      </w:r>
      <w:r w:rsidR="006E6019">
        <w:rPr>
          <w:noProof/>
        </w:rPr>
        <w:t>33</w:t>
      </w:r>
      <w:r>
        <w:rPr>
          <w:noProof/>
        </w:rPr>
        <w:fldChar w:fldCharType="end"/>
      </w:r>
    </w:p>
    <w:p w14:paraId="5A3DA21C" w14:textId="77777777" w:rsidR="00D336FB" w:rsidRDefault="00D336FB">
      <w:pPr>
        <w:pStyle w:val="TOC3"/>
        <w:rPr>
          <w:rFonts w:asciiTheme="minorHAnsi" w:eastAsiaTheme="minorEastAsia" w:hAnsiTheme="minorHAnsi" w:cstheme="minorBidi"/>
          <w:noProof/>
          <w:sz w:val="22"/>
          <w:szCs w:val="22"/>
          <w:lang w:eastAsia="en-NZ"/>
        </w:rPr>
      </w:pPr>
      <w:r>
        <w:rPr>
          <w:noProof/>
        </w:rPr>
        <w:t>Figure 20:</w:t>
      </w:r>
      <w:r>
        <w:rPr>
          <w:noProof/>
        </w:rPr>
        <w:tab/>
        <w:t>Percentage of adults who get the daily recommended servings of vegetables and fruit each day, by ethnicity, 2019/20</w:t>
      </w:r>
      <w:r>
        <w:rPr>
          <w:noProof/>
        </w:rPr>
        <w:tab/>
      </w:r>
      <w:r>
        <w:rPr>
          <w:noProof/>
        </w:rPr>
        <w:fldChar w:fldCharType="begin"/>
      </w:r>
      <w:r>
        <w:rPr>
          <w:noProof/>
        </w:rPr>
        <w:instrText xml:space="preserve"> PAGEREF _Toc95059141 \h </w:instrText>
      </w:r>
      <w:r>
        <w:rPr>
          <w:noProof/>
        </w:rPr>
      </w:r>
      <w:r>
        <w:rPr>
          <w:noProof/>
        </w:rPr>
        <w:fldChar w:fldCharType="separate"/>
      </w:r>
      <w:r w:rsidR="006E6019">
        <w:rPr>
          <w:noProof/>
        </w:rPr>
        <w:t>33</w:t>
      </w:r>
      <w:r>
        <w:rPr>
          <w:noProof/>
        </w:rPr>
        <w:fldChar w:fldCharType="end"/>
      </w:r>
    </w:p>
    <w:p w14:paraId="0980F18E" w14:textId="77777777" w:rsidR="00D336FB" w:rsidRDefault="00D336FB">
      <w:pPr>
        <w:pStyle w:val="TOC3"/>
        <w:rPr>
          <w:rFonts w:asciiTheme="minorHAnsi" w:eastAsiaTheme="minorEastAsia" w:hAnsiTheme="minorHAnsi" w:cstheme="minorBidi"/>
          <w:noProof/>
          <w:sz w:val="22"/>
          <w:szCs w:val="22"/>
          <w:lang w:eastAsia="en-NZ"/>
        </w:rPr>
      </w:pPr>
      <w:r>
        <w:rPr>
          <w:noProof/>
        </w:rPr>
        <w:t>Figure 21:</w:t>
      </w:r>
      <w:r>
        <w:rPr>
          <w:noProof/>
        </w:rPr>
        <w:tab/>
        <w:t>Percentage of adults and children who get the recommended servings of vegetables and fruit each day, by neighbourhood deprivation, 2019/20</w:t>
      </w:r>
      <w:r>
        <w:rPr>
          <w:noProof/>
        </w:rPr>
        <w:tab/>
      </w:r>
      <w:r>
        <w:rPr>
          <w:noProof/>
        </w:rPr>
        <w:fldChar w:fldCharType="begin"/>
      </w:r>
      <w:r>
        <w:rPr>
          <w:noProof/>
        </w:rPr>
        <w:instrText xml:space="preserve"> PAGEREF _Toc95059142 \h </w:instrText>
      </w:r>
      <w:r>
        <w:rPr>
          <w:noProof/>
        </w:rPr>
      </w:r>
      <w:r>
        <w:rPr>
          <w:noProof/>
        </w:rPr>
        <w:fldChar w:fldCharType="separate"/>
      </w:r>
      <w:r w:rsidR="006E6019">
        <w:rPr>
          <w:noProof/>
        </w:rPr>
        <w:t>34</w:t>
      </w:r>
      <w:r>
        <w:rPr>
          <w:noProof/>
        </w:rPr>
        <w:fldChar w:fldCharType="end"/>
      </w:r>
    </w:p>
    <w:p w14:paraId="32BF7ED9" w14:textId="77777777" w:rsidR="00D336FB" w:rsidRDefault="00D336FB">
      <w:pPr>
        <w:pStyle w:val="TOC3"/>
        <w:rPr>
          <w:rFonts w:asciiTheme="minorHAnsi" w:eastAsiaTheme="minorEastAsia" w:hAnsiTheme="minorHAnsi" w:cstheme="minorBidi"/>
          <w:noProof/>
          <w:sz w:val="22"/>
          <w:szCs w:val="22"/>
          <w:lang w:eastAsia="en-NZ"/>
        </w:rPr>
      </w:pPr>
      <w:r>
        <w:rPr>
          <w:noProof/>
        </w:rPr>
        <w:t>Figure 22:</w:t>
      </w:r>
      <w:r>
        <w:rPr>
          <w:noProof/>
        </w:rPr>
        <w:tab/>
        <w:t>Overweight or obesity among adults (aged 15 years and older), 2020 or nearest year</w:t>
      </w:r>
      <w:r>
        <w:rPr>
          <w:noProof/>
        </w:rPr>
        <w:tab/>
      </w:r>
      <w:r>
        <w:rPr>
          <w:noProof/>
        </w:rPr>
        <w:fldChar w:fldCharType="begin"/>
      </w:r>
      <w:r>
        <w:rPr>
          <w:noProof/>
        </w:rPr>
        <w:instrText xml:space="preserve"> PAGEREF _Toc95059143 \h </w:instrText>
      </w:r>
      <w:r>
        <w:rPr>
          <w:noProof/>
        </w:rPr>
      </w:r>
      <w:r>
        <w:rPr>
          <w:noProof/>
        </w:rPr>
        <w:fldChar w:fldCharType="separate"/>
      </w:r>
      <w:r w:rsidR="006E6019">
        <w:rPr>
          <w:noProof/>
        </w:rPr>
        <w:t>34</w:t>
      </w:r>
      <w:r>
        <w:rPr>
          <w:noProof/>
        </w:rPr>
        <w:fldChar w:fldCharType="end"/>
      </w:r>
    </w:p>
    <w:p w14:paraId="77720F63" w14:textId="77777777" w:rsidR="00D336FB" w:rsidRDefault="00D336FB">
      <w:pPr>
        <w:pStyle w:val="TOC3"/>
        <w:rPr>
          <w:rFonts w:asciiTheme="minorHAnsi" w:eastAsiaTheme="minorEastAsia" w:hAnsiTheme="minorHAnsi" w:cstheme="minorBidi"/>
          <w:noProof/>
          <w:sz w:val="22"/>
          <w:szCs w:val="22"/>
          <w:lang w:eastAsia="en-NZ"/>
        </w:rPr>
      </w:pPr>
      <w:r>
        <w:rPr>
          <w:noProof/>
        </w:rPr>
        <w:t>Figure 23:</w:t>
      </w:r>
      <w:r>
        <w:rPr>
          <w:noProof/>
        </w:rPr>
        <w:tab/>
        <w:t>Association between physical activity and the risk of cancer</w:t>
      </w:r>
      <w:r>
        <w:rPr>
          <w:noProof/>
        </w:rPr>
        <w:tab/>
      </w:r>
      <w:r>
        <w:rPr>
          <w:noProof/>
        </w:rPr>
        <w:fldChar w:fldCharType="begin"/>
      </w:r>
      <w:r>
        <w:rPr>
          <w:noProof/>
        </w:rPr>
        <w:instrText xml:space="preserve"> PAGEREF _Toc95059144 \h </w:instrText>
      </w:r>
      <w:r>
        <w:rPr>
          <w:noProof/>
        </w:rPr>
      </w:r>
      <w:r>
        <w:rPr>
          <w:noProof/>
        </w:rPr>
        <w:fldChar w:fldCharType="separate"/>
      </w:r>
      <w:r w:rsidR="006E6019">
        <w:rPr>
          <w:noProof/>
        </w:rPr>
        <w:t>43</w:t>
      </w:r>
      <w:r>
        <w:rPr>
          <w:noProof/>
        </w:rPr>
        <w:fldChar w:fldCharType="end"/>
      </w:r>
    </w:p>
    <w:p w14:paraId="6DC550E2" w14:textId="77777777" w:rsidR="00D336FB" w:rsidRDefault="00D336FB">
      <w:pPr>
        <w:pStyle w:val="TOC3"/>
        <w:rPr>
          <w:rFonts w:asciiTheme="minorHAnsi" w:eastAsiaTheme="minorEastAsia" w:hAnsiTheme="minorHAnsi" w:cstheme="minorBidi"/>
          <w:noProof/>
          <w:sz w:val="22"/>
          <w:szCs w:val="22"/>
          <w:lang w:eastAsia="en-NZ"/>
        </w:rPr>
      </w:pPr>
      <w:r>
        <w:rPr>
          <w:noProof/>
        </w:rPr>
        <w:t>Figure 24:</w:t>
      </w:r>
      <w:r>
        <w:rPr>
          <w:noProof/>
        </w:rPr>
        <w:tab/>
        <w:t>Cancers related to physical inactivity or sedentary behaviour</w:t>
      </w:r>
      <w:r>
        <w:rPr>
          <w:noProof/>
        </w:rPr>
        <w:tab/>
      </w:r>
      <w:r>
        <w:rPr>
          <w:noProof/>
        </w:rPr>
        <w:fldChar w:fldCharType="begin"/>
      </w:r>
      <w:r>
        <w:rPr>
          <w:noProof/>
        </w:rPr>
        <w:instrText xml:space="preserve"> PAGEREF _Toc95059145 \h </w:instrText>
      </w:r>
      <w:r>
        <w:rPr>
          <w:noProof/>
        </w:rPr>
      </w:r>
      <w:r>
        <w:rPr>
          <w:noProof/>
        </w:rPr>
        <w:fldChar w:fldCharType="separate"/>
      </w:r>
      <w:r w:rsidR="006E6019">
        <w:rPr>
          <w:noProof/>
        </w:rPr>
        <w:t>43</w:t>
      </w:r>
      <w:r>
        <w:rPr>
          <w:noProof/>
        </w:rPr>
        <w:fldChar w:fldCharType="end"/>
      </w:r>
    </w:p>
    <w:p w14:paraId="45BCDB1F" w14:textId="77777777" w:rsidR="00D336FB" w:rsidRDefault="00D336FB" w:rsidP="00D336FB">
      <w:pPr>
        <w:pStyle w:val="TOC3"/>
        <w:keepNext/>
        <w:rPr>
          <w:rFonts w:asciiTheme="minorHAnsi" w:eastAsiaTheme="minorEastAsia" w:hAnsiTheme="minorHAnsi" w:cstheme="minorBidi"/>
          <w:noProof/>
          <w:sz w:val="22"/>
          <w:szCs w:val="22"/>
          <w:lang w:eastAsia="en-NZ"/>
        </w:rPr>
      </w:pPr>
      <w:r>
        <w:rPr>
          <w:noProof/>
        </w:rPr>
        <w:t>Figure 25:</w:t>
      </w:r>
      <w:r>
        <w:rPr>
          <w:noProof/>
        </w:rPr>
        <w:tab/>
        <w:t>Proportion of adults and young people who get the recommended amount of physical activity, 2019/20</w:t>
      </w:r>
      <w:r>
        <w:rPr>
          <w:noProof/>
        </w:rPr>
        <w:tab/>
      </w:r>
      <w:r>
        <w:rPr>
          <w:noProof/>
        </w:rPr>
        <w:fldChar w:fldCharType="begin"/>
      </w:r>
      <w:r>
        <w:rPr>
          <w:noProof/>
        </w:rPr>
        <w:instrText xml:space="preserve"> PAGEREF _Toc95059146 \h </w:instrText>
      </w:r>
      <w:r>
        <w:rPr>
          <w:noProof/>
        </w:rPr>
      </w:r>
      <w:r>
        <w:rPr>
          <w:noProof/>
        </w:rPr>
        <w:fldChar w:fldCharType="separate"/>
      </w:r>
      <w:r w:rsidR="006E6019">
        <w:rPr>
          <w:noProof/>
        </w:rPr>
        <w:t>44</w:t>
      </w:r>
      <w:r>
        <w:rPr>
          <w:noProof/>
        </w:rPr>
        <w:fldChar w:fldCharType="end"/>
      </w:r>
    </w:p>
    <w:p w14:paraId="792F1930" w14:textId="77777777" w:rsidR="00D336FB" w:rsidRDefault="00D336FB">
      <w:pPr>
        <w:pStyle w:val="TOC3"/>
        <w:rPr>
          <w:rFonts w:asciiTheme="minorHAnsi" w:eastAsiaTheme="minorEastAsia" w:hAnsiTheme="minorHAnsi" w:cstheme="minorBidi"/>
          <w:noProof/>
          <w:sz w:val="22"/>
          <w:szCs w:val="22"/>
          <w:lang w:eastAsia="en-NZ"/>
        </w:rPr>
      </w:pPr>
      <w:r>
        <w:rPr>
          <w:noProof/>
        </w:rPr>
        <w:t>Figure 26:</w:t>
      </w:r>
      <w:r>
        <w:rPr>
          <w:noProof/>
        </w:rPr>
        <w:tab/>
        <w:t>Percentage of adults (aged 15 years and older) who get at least 2.5 hours of physical activity a week, by ethnicity, 2019/20</w:t>
      </w:r>
      <w:r>
        <w:rPr>
          <w:noProof/>
        </w:rPr>
        <w:tab/>
      </w:r>
      <w:r>
        <w:rPr>
          <w:noProof/>
        </w:rPr>
        <w:fldChar w:fldCharType="begin"/>
      </w:r>
      <w:r>
        <w:rPr>
          <w:noProof/>
        </w:rPr>
        <w:instrText xml:space="preserve"> PAGEREF _Toc95059147 \h </w:instrText>
      </w:r>
      <w:r>
        <w:rPr>
          <w:noProof/>
        </w:rPr>
      </w:r>
      <w:r>
        <w:rPr>
          <w:noProof/>
        </w:rPr>
        <w:fldChar w:fldCharType="separate"/>
      </w:r>
      <w:r w:rsidR="006E6019">
        <w:rPr>
          <w:noProof/>
        </w:rPr>
        <w:t>45</w:t>
      </w:r>
      <w:r>
        <w:rPr>
          <w:noProof/>
        </w:rPr>
        <w:fldChar w:fldCharType="end"/>
      </w:r>
    </w:p>
    <w:p w14:paraId="1EE639FB" w14:textId="77777777" w:rsidR="00D336FB" w:rsidRDefault="00D336FB">
      <w:pPr>
        <w:pStyle w:val="TOC3"/>
        <w:rPr>
          <w:rFonts w:asciiTheme="minorHAnsi" w:eastAsiaTheme="minorEastAsia" w:hAnsiTheme="minorHAnsi" w:cstheme="minorBidi"/>
          <w:noProof/>
          <w:sz w:val="22"/>
          <w:szCs w:val="22"/>
          <w:lang w:eastAsia="en-NZ"/>
        </w:rPr>
      </w:pPr>
      <w:r>
        <w:rPr>
          <w:noProof/>
        </w:rPr>
        <w:t>Figure 27:</w:t>
      </w:r>
      <w:r>
        <w:rPr>
          <w:noProof/>
        </w:rPr>
        <w:tab/>
        <w:t>Proportion of children who have two hours or more of screen time a day, 2019/20</w:t>
      </w:r>
      <w:r>
        <w:rPr>
          <w:noProof/>
        </w:rPr>
        <w:tab/>
      </w:r>
      <w:r>
        <w:rPr>
          <w:noProof/>
        </w:rPr>
        <w:fldChar w:fldCharType="begin"/>
      </w:r>
      <w:r>
        <w:rPr>
          <w:noProof/>
        </w:rPr>
        <w:instrText xml:space="preserve"> PAGEREF _Toc95059148 \h </w:instrText>
      </w:r>
      <w:r>
        <w:rPr>
          <w:noProof/>
        </w:rPr>
      </w:r>
      <w:r>
        <w:rPr>
          <w:noProof/>
        </w:rPr>
        <w:fldChar w:fldCharType="separate"/>
      </w:r>
      <w:r w:rsidR="006E6019">
        <w:rPr>
          <w:noProof/>
        </w:rPr>
        <w:t>45</w:t>
      </w:r>
      <w:r>
        <w:rPr>
          <w:noProof/>
        </w:rPr>
        <w:fldChar w:fldCharType="end"/>
      </w:r>
    </w:p>
    <w:p w14:paraId="014B0943" w14:textId="77777777" w:rsidR="00D336FB" w:rsidRDefault="00D336FB">
      <w:pPr>
        <w:pStyle w:val="TOC3"/>
        <w:rPr>
          <w:rFonts w:asciiTheme="minorHAnsi" w:eastAsiaTheme="minorEastAsia" w:hAnsiTheme="minorHAnsi" w:cstheme="minorBidi"/>
          <w:noProof/>
          <w:sz w:val="22"/>
          <w:szCs w:val="22"/>
          <w:lang w:eastAsia="en-NZ"/>
        </w:rPr>
      </w:pPr>
      <w:r>
        <w:rPr>
          <w:noProof/>
        </w:rPr>
        <w:t>Figure 28:</w:t>
      </w:r>
      <w:r>
        <w:rPr>
          <w:noProof/>
        </w:rPr>
        <w:tab/>
        <w:t>SunSmart messaging</w:t>
      </w:r>
      <w:r>
        <w:rPr>
          <w:noProof/>
        </w:rPr>
        <w:tab/>
      </w:r>
      <w:r>
        <w:rPr>
          <w:noProof/>
        </w:rPr>
        <w:fldChar w:fldCharType="begin"/>
      </w:r>
      <w:r>
        <w:rPr>
          <w:noProof/>
        </w:rPr>
        <w:instrText xml:space="preserve"> PAGEREF _Toc95059149 \h </w:instrText>
      </w:r>
      <w:r>
        <w:rPr>
          <w:noProof/>
        </w:rPr>
      </w:r>
      <w:r>
        <w:rPr>
          <w:noProof/>
        </w:rPr>
        <w:fldChar w:fldCharType="separate"/>
      </w:r>
      <w:r w:rsidR="006E6019">
        <w:rPr>
          <w:noProof/>
        </w:rPr>
        <w:t>54</w:t>
      </w:r>
      <w:r>
        <w:rPr>
          <w:noProof/>
        </w:rPr>
        <w:fldChar w:fldCharType="end"/>
      </w:r>
    </w:p>
    <w:p w14:paraId="36AEEFDC" w14:textId="77777777" w:rsidR="00D336FB" w:rsidRDefault="00D336FB">
      <w:pPr>
        <w:pStyle w:val="TOC3"/>
        <w:rPr>
          <w:rFonts w:asciiTheme="minorHAnsi" w:eastAsiaTheme="minorEastAsia" w:hAnsiTheme="minorHAnsi" w:cstheme="minorBidi"/>
          <w:noProof/>
          <w:sz w:val="22"/>
          <w:szCs w:val="22"/>
          <w:lang w:eastAsia="en-NZ"/>
        </w:rPr>
      </w:pPr>
      <w:r>
        <w:rPr>
          <w:noProof/>
        </w:rPr>
        <w:t>Figure 29:</w:t>
      </w:r>
      <w:r>
        <w:rPr>
          <w:noProof/>
        </w:rPr>
        <w:tab/>
        <w:t>Proportion of adults experiencing sunburn in spring and summer of 2017–2018</w:t>
      </w:r>
      <w:r>
        <w:rPr>
          <w:noProof/>
        </w:rPr>
        <w:tab/>
      </w:r>
      <w:r>
        <w:rPr>
          <w:noProof/>
        </w:rPr>
        <w:fldChar w:fldCharType="begin"/>
      </w:r>
      <w:r>
        <w:rPr>
          <w:noProof/>
        </w:rPr>
        <w:instrText xml:space="preserve"> PAGEREF _Toc95059150 \h </w:instrText>
      </w:r>
      <w:r>
        <w:rPr>
          <w:noProof/>
        </w:rPr>
      </w:r>
      <w:r>
        <w:rPr>
          <w:noProof/>
        </w:rPr>
        <w:fldChar w:fldCharType="separate"/>
      </w:r>
      <w:r w:rsidR="006E6019">
        <w:rPr>
          <w:noProof/>
        </w:rPr>
        <w:t>54</w:t>
      </w:r>
      <w:r>
        <w:rPr>
          <w:noProof/>
        </w:rPr>
        <w:fldChar w:fldCharType="end"/>
      </w:r>
    </w:p>
    <w:p w14:paraId="70349E51" w14:textId="77777777" w:rsidR="00D336FB" w:rsidRDefault="00D336FB">
      <w:pPr>
        <w:pStyle w:val="TOC3"/>
        <w:rPr>
          <w:rFonts w:asciiTheme="minorHAnsi" w:eastAsiaTheme="minorEastAsia" w:hAnsiTheme="minorHAnsi" w:cstheme="minorBidi"/>
          <w:noProof/>
          <w:sz w:val="22"/>
          <w:szCs w:val="22"/>
          <w:lang w:eastAsia="en-NZ"/>
        </w:rPr>
      </w:pPr>
      <w:r>
        <w:rPr>
          <w:noProof/>
        </w:rPr>
        <w:t>Figure 30:</w:t>
      </w:r>
      <w:r>
        <w:rPr>
          <w:noProof/>
        </w:rPr>
        <w:tab/>
        <w:t>Proportion of adults wearing sunscreen in the past year, 2016</w:t>
      </w:r>
      <w:r>
        <w:rPr>
          <w:noProof/>
        </w:rPr>
        <w:tab/>
      </w:r>
      <w:r>
        <w:rPr>
          <w:noProof/>
        </w:rPr>
        <w:fldChar w:fldCharType="begin"/>
      </w:r>
      <w:r>
        <w:rPr>
          <w:noProof/>
        </w:rPr>
        <w:instrText xml:space="preserve"> PAGEREF _Toc95059151 \h </w:instrText>
      </w:r>
      <w:r>
        <w:rPr>
          <w:noProof/>
        </w:rPr>
      </w:r>
      <w:r>
        <w:rPr>
          <w:noProof/>
        </w:rPr>
        <w:fldChar w:fldCharType="separate"/>
      </w:r>
      <w:r w:rsidR="006E6019">
        <w:rPr>
          <w:noProof/>
        </w:rPr>
        <w:t>55</w:t>
      </w:r>
      <w:r>
        <w:rPr>
          <w:noProof/>
        </w:rPr>
        <w:fldChar w:fldCharType="end"/>
      </w:r>
    </w:p>
    <w:p w14:paraId="2DAA7519" w14:textId="77777777" w:rsidR="00D336FB" w:rsidRDefault="00D336FB">
      <w:pPr>
        <w:pStyle w:val="TOC3"/>
        <w:rPr>
          <w:rFonts w:asciiTheme="minorHAnsi" w:eastAsiaTheme="minorEastAsia" w:hAnsiTheme="minorHAnsi" w:cstheme="minorBidi"/>
          <w:noProof/>
          <w:sz w:val="22"/>
          <w:szCs w:val="22"/>
          <w:lang w:eastAsia="en-NZ"/>
        </w:rPr>
      </w:pPr>
      <w:r>
        <w:rPr>
          <w:noProof/>
        </w:rPr>
        <w:t>Figure 31:</w:t>
      </w:r>
      <w:r>
        <w:rPr>
          <w:noProof/>
        </w:rPr>
        <w:tab/>
        <w:t xml:space="preserve">Cancers related to </w:t>
      </w:r>
      <w:r w:rsidRPr="0060405B">
        <w:rPr>
          <w:rFonts w:ascii="Lucida Sans"/>
          <w:i/>
          <w:iCs/>
          <w:noProof/>
        </w:rPr>
        <w:t>H.pylori</w:t>
      </w:r>
      <w:r>
        <w:rPr>
          <w:noProof/>
        </w:rPr>
        <w:t xml:space="preserve">, HPV, </w:t>
      </w:r>
      <w:r w:rsidR="009278A9">
        <w:rPr>
          <w:noProof/>
        </w:rPr>
        <w:t>Hepatitis B</w:t>
      </w:r>
      <w:r>
        <w:rPr>
          <w:noProof/>
        </w:rPr>
        <w:t xml:space="preserve"> and </w:t>
      </w:r>
      <w:r w:rsidR="009278A9">
        <w:rPr>
          <w:noProof/>
        </w:rPr>
        <w:t>Hepatitis C</w:t>
      </w:r>
      <w:r>
        <w:rPr>
          <w:noProof/>
        </w:rPr>
        <w:tab/>
      </w:r>
      <w:r>
        <w:rPr>
          <w:noProof/>
        </w:rPr>
        <w:fldChar w:fldCharType="begin"/>
      </w:r>
      <w:r>
        <w:rPr>
          <w:noProof/>
        </w:rPr>
        <w:instrText xml:space="preserve"> PAGEREF _Toc95059152 \h </w:instrText>
      </w:r>
      <w:r>
        <w:rPr>
          <w:noProof/>
        </w:rPr>
      </w:r>
      <w:r>
        <w:rPr>
          <w:noProof/>
        </w:rPr>
        <w:fldChar w:fldCharType="separate"/>
      </w:r>
      <w:r w:rsidR="006E6019">
        <w:rPr>
          <w:noProof/>
        </w:rPr>
        <w:t>61</w:t>
      </w:r>
      <w:r>
        <w:rPr>
          <w:noProof/>
        </w:rPr>
        <w:fldChar w:fldCharType="end"/>
      </w:r>
    </w:p>
    <w:p w14:paraId="7F5B1AAB" w14:textId="77777777" w:rsidR="00D336FB" w:rsidRDefault="00D336FB">
      <w:pPr>
        <w:pStyle w:val="TOC3"/>
        <w:rPr>
          <w:rFonts w:asciiTheme="minorHAnsi" w:eastAsiaTheme="minorEastAsia" w:hAnsiTheme="minorHAnsi" w:cstheme="minorBidi"/>
          <w:noProof/>
          <w:sz w:val="22"/>
          <w:szCs w:val="22"/>
          <w:lang w:eastAsia="en-NZ"/>
        </w:rPr>
      </w:pPr>
      <w:r>
        <w:rPr>
          <w:noProof/>
        </w:rPr>
        <w:t>Figure 32:</w:t>
      </w:r>
      <w:r>
        <w:rPr>
          <w:noProof/>
        </w:rPr>
        <w:tab/>
        <w:t>Incidence of stomach cancer for Māori and non-Māori females and males in Aotearoa, 1996–2017</w:t>
      </w:r>
      <w:r>
        <w:rPr>
          <w:noProof/>
        </w:rPr>
        <w:tab/>
      </w:r>
      <w:r>
        <w:rPr>
          <w:noProof/>
        </w:rPr>
        <w:fldChar w:fldCharType="begin"/>
      </w:r>
      <w:r>
        <w:rPr>
          <w:noProof/>
        </w:rPr>
        <w:instrText xml:space="preserve"> PAGEREF _Toc95059153 \h </w:instrText>
      </w:r>
      <w:r>
        <w:rPr>
          <w:noProof/>
        </w:rPr>
      </w:r>
      <w:r>
        <w:rPr>
          <w:noProof/>
        </w:rPr>
        <w:fldChar w:fldCharType="separate"/>
      </w:r>
      <w:r w:rsidR="006E6019">
        <w:rPr>
          <w:noProof/>
        </w:rPr>
        <w:t>62</w:t>
      </w:r>
      <w:r>
        <w:rPr>
          <w:noProof/>
        </w:rPr>
        <w:fldChar w:fldCharType="end"/>
      </w:r>
    </w:p>
    <w:p w14:paraId="651B031C" w14:textId="77777777" w:rsidR="00D336FB" w:rsidRDefault="00D336FB">
      <w:pPr>
        <w:pStyle w:val="TOC3"/>
        <w:rPr>
          <w:rFonts w:asciiTheme="minorHAnsi" w:eastAsiaTheme="minorEastAsia" w:hAnsiTheme="minorHAnsi" w:cstheme="minorBidi"/>
          <w:noProof/>
          <w:sz w:val="22"/>
          <w:szCs w:val="22"/>
          <w:lang w:eastAsia="en-NZ"/>
        </w:rPr>
      </w:pPr>
      <w:r>
        <w:rPr>
          <w:noProof/>
        </w:rPr>
        <w:t>Figure 33:</w:t>
      </w:r>
      <w:r>
        <w:rPr>
          <w:noProof/>
        </w:rPr>
        <w:tab/>
        <w:t>Cancers caused by HPV</w:t>
      </w:r>
      <w:r>
        <w:rPr>
          <w:noProof/>
        </w:rPr>
        <w:tab/>
      </w:r>
      <w:r>
        <w:rPr>
          <w:noProof/>
        </w:rPr>
        <w:fldChar w:fldCharType="begin"/>
      </w:r>
      <w:r>
        <w:rPr>
          <w:noProof/>
        </w:rPr>
        <w:instrText xml:space="preserve"> PAGEREF _Toc95059154 \h </w:instrText>
      </w:r>
      <w:r>
        <w:rPr>
          <w:noProof/>
        </w:rPr>
      </w:r>
      <w:r>
        <w:rPr>
          <w:noProof/>
        </w:rPr>
        <w:fldChar w:fldCharType="separate"/>
      </w:r>
      <w:r w:rsidR="006E6019">
        <w:rPr>
          <w:noProof/>
        </w:rPr>
        <w:t>63</w:t>
      </w:r>
      <w:r>
        <w:rPr>
          <w:noProof/>
        </w:rPr>
        <w:fldChar w:fldCharType="end"/>
      </w:r>
    </w:p>
    <w:p w14:paraId="58534614" w14:textId="77777777" w:rsidR="00D336FB" w:rsidRDefault="00D336FB">
      <w:pPr>
        <w:pStyle w:val="TOC3"/>
        <w:rPr>
          <w:rFonts w:asciiTheme="minorHAnsi" w:eastAsiaTheme="minorEastAsia" w:hAnsiTheme="minorHAnsi" w:cstheme="minorBidi"/>
          <w:noProof/>
          <w:sz w:val="22"/>
          <w:szCs w:val="22"/>
          <w:lang w:eastAsia="en-NZ"/>
        </w:rPr>
      </w:pPr>
      <w:r>
        <w:rPr>
          <w:noProof/>
        </w:rPr>
        <w:t>Figure 34:</w:t>
      </w:r>
      <w:r>
        <w:rPr>
          <w:noProof/>
        </w:rPr>
        <w:tab/>
        <w:t>Incidence of cervical cancer for Māori and non-Māori, 1996–2017</w:t>
      </w:r>
      <w:r>
        <w:rPr>
          <w:noProof/>
        </w:rPr>
        <w:tab/>
      </w:r>
      <w:r>
        <w:rPr>
          <w:noProof/>
        </w:rPr>
        <w:fldChar w:fldCharType="begin"/>
      </w:r>
      <w:r>
        <w:rPr>
          <w:noProof/>
        </w:rPr>
        <w:instrText xml:space="preserve"> PAGEREF _Toc95059155 \h </w:instrText>
      </w:r>
      <w:r>
        <w:rPr>
          <w:noProof/>
        </w:rPr>
      </w:r>
      <w:r>
        <w:rPr>
          <w:noProof/>
        </w:rPr>
        <w:fldChar w:fldCharType="separate"/>
      </w:r>
      <w:r w:rsidR="006E6019">
        <w:rPr>
          <w:noProof/>
        </w:rPr>
        <w:t>63</w:t>
      </w:r>
      <w:r>
        <w:rPr>
          <w:noProof/>
        </w:rPr>
        <w:fldChar w:fldCharType="end"/>
      </w:r>
    </w:p>
    <w:p w14:paraId="0DB43F3E" w14:textId="77777777" w:rsidR="00D336FB" w:rsidRDefault="00D336FB">
      <w:pPr>
        <w:pStyle w:val="TOC3"/>
        <w:rPr>
          <w:rFonts w:asciiTheme="minorHAnsi" w:eastAsiaTheme="minorEastAsia" w:hAnsiTheme="minorHAnsi" w:cstheme="minorBidi"/>
          <w:noProof/>
          <w:sz w:val="22"/>
          <w:szCs w:val="22"/>
          <w:lang w:eastAsia="en-NZ"/>
        </w:rPr>
      </w:pPr>
      <w:r>
        <w:rPr>
          <w:noProof/>
        </w:rPr>
        <w:t>Figure 35:</w:t>
      </w:r>
      <w:r>
        <w:rPr>
          <w:noProof/>
        </w:rPr>
        <w:tab/>
        <w:t>Incidence of liver cancer for Māori and non-Māori females and males in Aotearoa, 1996–2017</w:t>
      </w:r>
      <w:r>
        <w:rPr>
          <w:noProof/>
        </w:rPr>
        <w:tab/>
      </w:r>
      <w:r>
        <w:rPr>
          <w:noProof/>
        </w:rPr>
        <w:fldChar w:fldCharType="begin"/>
      </w:r>
      <w:r>
        <w:rPr>
          <w:noProof/>
        </w:rPr>
        <w:instrText xml:space="preserve"> PAGEREF _Toc95059156 \h </w:instrText>
      </w:r>
      <w:r>
        <w:rPr>
          <w:noProof/>
        </w:rPr>
      </w:r>
      <w:r>
        <w:rPr>
          <w:noProof/>
        </w:rPr>
        <w:fldChar w:fldCharType="separate"/>
      </w:r>
      <w:r w:rsidR="006E6019">
        <w:rPr>
          <w:noProof/>
        </w:rPr>
        <w:t>65</w:t>
      </w:r>
      <w:r>
        <w:rPr>
          <w:noProof/>
        </w:rPr>
        <w:fldChar w:fldCharType="end"/>
      </w:r>
    </w:p>
    <w:p w14:paraId="56EAD60F" w14:textId="77777777" w:rsidR="00D336FB" w:rsidRDefault="00D336FB">
      <w:pPr>
        <w:pStyle w:val="TOC3"/>
        <w:rPr>
          <w:rFonts w:asciiTheme="minorHAnsi" w:eastAsiaTheme="minorEastAsia" w:hAnsiTheme="minorHAnsi" w:cstheme="minorBidi"/>
          <w:noProof/>
          <w:sz w:val="22"/>
          <w:szCs w:val="22"/>
          <w:lang w:eastAsia="en-NZ"/>
        </w:rPr>
      </w:pPr>
      <w:r>
        <w:rPr>
          <w:noProof/>
        </w:rPr>
        <w:t>Figure 36:</w:t>
      </w:r>
      <w:r>
        <w:rPr>
          <w:noProof/>
        </w:rPr>
        <w:tab/>
        <w:t>HPV coverage of girls and boys by 2003–2006 birth cohorts and ethnicity, as at July 2020</w:t>
      </w:r>
      <w:r>
        <w:rPr>
          <w:noProof/>
        </w:rPr>
        <w:tab/>
      </w:r>
      <w:r>
        <w:rPr>
          <w:noProof/>
        </w:rPr>
        <w:fldChar w:fldCharType="begin"/>
      </w:r>
      <w:r>
        <w:rPr>
          <w:noProof/>
        </w:rPr>
        <w:instrText xml:space="preserve"> PAGEREF _Toc95059157 \h </w:instrText>
      </w:r>
      <w:r>
        <w:rPr>
          <w:noProof/>
        </w:rPr>
      </w:r>
      <w:r>
        <w:rPr>
          <w:noProof/>
        </w:rPr>
        <w:fldChar w:fldCharType="separate"/>
      </w:r>
      <w:r w:rsidR="006E6019">
        <w:rPr>
          <w:noProof/>
        </w:rPr>
        <w:t>67</w:t>
      </w:r>
      <w:r>
        <w:rPr>
          <w:noProof/>
        </w:rPr>
        <w:fldChar w:fldCharType="end"/>
      </w:r>
    </w:p>
    <w:p w14:paraId="0A22E18F" w14:textId="77777777" w:rsidR="00D336FB" w:rsidRDefault="00D336FB">
      <w:pPr>
        <w:pStyle w:val="TOC3"/>
        <w:rPr>
          <w:rFonts w:asciiTheme="minorHAnsi" w:eastAsiaTheme="minorEastAsia" w:hAnsiTheme="minorHAnsi" w:cstheme="minorBidi"/>
          <w:noProof/>
          <w:sz w:val="22"/>
          <w:szCs w:val="22"/>
          <w:lang w:eastAsia="en-NZ"/>
        </w:rPr>
      </w:pPr>
      <w:r>
        <w:rPr>
          <w:noProof/>
        </w:rPr>
        <w:lastRenderedPageBreak/>
        <w:t>Figure 37:</w:t>
      </w:r>
      <w:r>
        <w:rPr>
          <w:noProof/>
        </w:rPr>
        <w:tab/>
      </w:r>
      <w:r w:rsidR="009278A9">
        <w:rPr>
          <w:noProof/>
        </w:rPr>
        <w:t>Hepatitis B</w:t>
      </w:r>
      <w:r>
        <w:rPr>
          <w:noProof/>
        </w:rPr>
        <w:t xml:space="preserve"> vaccination coverage at two years of age, by ethnicity, September 2016–June 2020</w:t>
      </w:r>
      <w:r>
        <w:rPr>
          <w:noProof/>
        </w:rPr>
        <w:tab/>
      </w:r>
      <w:r>
        <w:rPr>
          <w:noProof/>
        </w:rPr>
        <w:fldChar w:fldCharType="begin"/>
      </w:r>
      <w:r>
        <w:rPr>
          <w:noProof/>
        </w:rPr>
        <w:instrText xml:space="preserve"> PAGEREF _Toc95059158 \h </w:instrText>
      </w:r>
      <w:r>
        <w:rPr>
          <w:noProof/>
        </w:rPr>
      </w:r>
      <w:r>
        <w:rPr>
          <w:noProof/>
        </w:rPr>
        <w:fldChar w:fldCharType="separate"/>
      </w:r>
      <w:r w:rsidR="006E6019">
        <w:rPr>
          <w:noProof/>
        </w:rPr>
        <w:t>67</w:t>
      </w:r>
      <w:r>
        <w:rPr>
          <w:noProof/>
        </w:rPr>
        <w:fldChar w:fldCharType="end"/>
      </w:r>
    </w:p>
    <w:p w14:paraId="7733D1D5" w14:textId="77777777" w:rsidR="00D336FB" w:rsidRDefault="00D336FB">
      <w:pPr>
        <w:pStyle w:val="TOC3"/>
        <w:rPr>
          <w:rFonts w:asciiTheme="minorHAnsi" w:eastAsiaTheme="minorEastAsia" w:hAnsiTheme="minorHAnsi" w:cstheme="minorBidi"/>
          <w:noProof/>
          <w:sz w:val="22"/>
          <w:szCs w:val="22"/>
          <w:lang w:eastAsia="en-NZ"/>
        </w:rPr>
      </w:pPr>
      <w:r>
        <w:rPr>
          <w:noProof/>
        </w:rPr>
        <w:t>Figure 38:</w:t>
      </w:r>
      <w:r>
        <w:rPr>
          <w:noProof/>
        </w:rPr>
        <w:tab/>
        <w:t>Key tobacco control initiatives, 1984–2020</w:t>
      </w:r>
      <w:r>
        <w:rPr>
          <w:noProof/>
        </w:rPr>
        <w:tab/>
      </w:r>
      <w:r>
        <w:rPr>
          <w:noProof/>
        </w:rPr>
        <w:fldChar w:fldCharType="begin"/>
      </w:r>
      <w:r>
        <w:rPr>
          <w:noProof/>
        </w:rPr>
        <w:instrText xml:space="preserve"> PAGEREF _Toc95059159 \h </w:instrText>
      </w:r>
      <w:r>
        <w:rPr>
          <w:noProof/>
        </w:rPr>
      </w:r>
      <w:r>
        <w:rPr>
          <w:noProof/>
        </w:rPr>
        <w:fldChar w:fldCharType="separate"/>
      </w:r>
      <w:r w:rsidR="006E6019">
        <w:rPr>
          <w:noProof/>
        </w:rPr>
        <w:t>82</w:t>
      </w:r>
      <w:r>
        <w:rPr>
          <w:noProof/>
        </w:rPr>
        <w:fldChar w:fldCharType="end"/>
      </w:r>
    </w:p>
    <w:p w14:paraId="1A05E300" w14:textId="77777777" w:rsidR="00852C5D" w:rsidRPr="00B47C82" w:rsidRDefault="0033448B" w:rsidP="003A5FEA">
      <w:r w:rsidRPr="00B47C82">
        <w:fldChar w:fldCharType="end"/>
      </w:r>
    </w:p>
    <w:p w14:paraId="6EE22BF9" w14:textId="77777777" w:rsidR="001D3E4E" w:rsidRPr="00B47C82" w:rsidRDefault="001D3E4E" w:rsidP="003A5FEA">
      <w:pPr>
        <w:sectPr w:rsidR="001D3E4E" w:rsidRPr="00B47C82" w:rsidSect="00925892">
          <w:headerReference w:type="even" r:id="rId21"/>
          <w:headerReference w:type="default" r:id="rId22"/>
          <w:footerReference w:type="even" r:id="rId23"/>
          <w:footerReference w:type="default" r:id="rId24"/>
          <w:endnotePr>
            <w:numFmt w:val="decimal"/>
          </w:endnotePr>
          <w:pgSz w:w="11907" w:h="16840" w:code="9"/>
          <w:pgMar w:top="1418" w:right="1701" w:bottom="1134" w:left="1843" w:header="284" w:footer="425" w:gutter="284"/>
          <w:pgNumType w:fmt="lowerRoman"/>
          <w:cols w:space="720"/>
        </w:sectPr>
      </w:pPr>
    </w:p>
    <w:p w14:paraId="75BDD967" w14:textId="77777777" w:rsidR="00E6746A" w:rsidRPr="00E6746A" w:rsidRDefault="00E6746A" w:rsidP="00E6746A">
      <w:pPr>
        <w:jc w:val="center"/>
        <w:rPr>
          <w:sz w:val="48"/>
          <w:szCs w:val="48"/>
        </w:rPr>
      </w:pPr>
      <w:proofErr w:type="spellStart"/>
      <w:r w:rsidRPr="00E6746A">
        <w:rPr>
          <w:sz w:val="48"/>
          <w:szCs w:val="48"/>
        </w:rPr>
        <w:lastRenderedPageBreak/>
        <w:t>Hāpaitia</w:t>
      </w:r>
      <w:proofErr w:type="spellEnd"/>
      <w:r w:rsidRPr="00E6746A">
        <w:rPr>
          <w:spacing w:val="10"/>
          <w:sz w:val="48"/>
          <w:szCs w:val="48"/>
        </w:rPr>
        <w:t xml:space="preserve"> </w:t>
      </w:r>
      <w:proofErr w:type="spellStart"/>
      <w:r w:rsidRPr="00E6746A">
        <w:rPr>
          <w:sz w:val="48"/>
          <w:szCs w:val="48"/>
        </w:rPr>
        <w:t>te</w:t>
      </w:r>
      <w:proofErr w:type="spellEnd"/>
      <w:r w:rsidRPr="00E6746A">
        <w:rPr>
          <w:spacing w:val="11"/>
          <w:sz w:val="48"/>
          <w:szCs w:val="48"/>
        </w:rPr>
        <w:t xml:space="preserve"> </w:t>
      </w:r>
      <w:proofErr w:type="spellStart"/>
      <w:r w:rsidRPr="00E6746A">
        <w:rPr>
          <w:sz w:val="48"/>
          <w:szCs w:val="48"/>
        </w:rPr>
        <w:t>ara</w:t>
      </w:r>
      <w:proofErr w:type="spellEnd"/>
      <w:r w:rsidRPr="00E6746A">
        <w:rPr>
          <w:spacing w:val="11"/>
          <w:sz w:val="48"/>
          <w:szCs w:val="48"/>
        </w:rPr>
        <w:t xml:space="preserve"> </w:t>
      </w:r>
      <w:r w:rsidRPr="00E6746A">
        <w:rPr>
          <w:sz w:val="48"/>
          <w:szCs w:val="48"/>
        </w:rPr>
        <w:t>tika</w:t>
      </w:r>
      <w:r w:rsidRPr="00E6746A">
        <w:rPr>
          <w:spacing w:val="11"/>
          <w:sz w:val="48"/>
          <w:szCs w:val="48"/>
        </w:rPr>
        <w:t xml:space="preserve"> </w:t>
      </w:r>
      <w:proofErr w:type="spellStart"/>
      <w:r w:rsidRPr="00E6746A">
        <w:rPr>
          <w:sz w:val="48"/>
          <w:szCs w:val="48"/>
        </w:rPr>
        <w:t>pūmau</w:t>
      </w:r>
      <w:proofErr w:type="spellEnd"/>
      <w:r w:rsidRPr="00E6746A">
        <w:rPr>
          <w:spacing w:val="11"/>
          <w:sz w:val="48"/>
          <w:szCs w:val="48"/>
        </w:rPr>
        <w:t xml:space="preserve"> </w:t>
      </w:r>
      <w:r w:rsidRPr="00E6746A">
        <w:rPr>
          <w:sz w:val="48"/>
          <w:szCs w:val="48"/>
        </w:rPr>
        <w:t>ai</w:t>
      </w:r>
      <w:r w:rsidRPr="00E6746A">
        <w:rPr>
          <w:spacing w:val="11"/>
          <w:sz w:val="48"/>
          <w:szCs w:val="48"/>
        </w:rPr>
        <w:t xml:space="preserve"> </w:t>
      </w:r>
      <w:proofErr w:type="spellStart"/>
      <w:r w:rsidRPr="00E6746A">
        <w:rPr>
          <w:sz w:val="48"/>
          <w:szCs w:val="48"/>
        </w:rPr>
        <w:t>te</w:t>
      </w:r>
      <w:proofErr w:type="spellEnd"/>
      <w:r w:rsidRPr="00E6746A">
        <w:rPr>
          <w:spacing w:val="-145"/>
          <w:sz w:val="48"/>
          <w:szCs w:val="48"/>
        </w:rPr>
        <w:t xml:space="preserve"> </w:t>
      </w:r>
      <w:r w:rsidRPr="00E6746A">
        <w:rPr>
          <w:sz w:val="48"/>
          <w:szCs w:val="48"/>
        </w:rPr>
        <w:t xml:space="preserve">rangatiratanga </w:t>
      </w:r>
      <w:proofErr w:type="spellStart"/>
      <w:r w:rsidRPr="00E6746A">
        <w:rPr>
          <w:sz w:val="48"/>
          <w:szCs w:val="48"/>
        </w:rPr>
        <w:t>mō</w:t>
      </w:r>
      <w:proofErr w:type="spellEnd"/>
      <w:r w:rsidRPr="00E6746A">
        <w:rPr>
          <w:sz w:val="48"/>
          <w:szCs w:val="48"/>
        </w:rPr>
        <w:t xml:space="preserve"> </w:t>
      </w:r>
      <w:proofErr w:type="spellStart"/>
      <w:r w:rsidRPr="00E6746A">
        <w:rPr>
          <w:sz w:val="48"/>
          <w:szCs w:val="48"/>
        </w:rPr>
        <w:t>ngā</w:t>
      </w:r>
      <w:proofErr w:type="spellEnd"/>
      <w:r w:rsidRPr="00E6746A">
        <w:rPr>
          <w:sz w:val="48"/>
          <w:szCs w:val="48"/>
        </w:rPr>
        <w:t xml:space="preserve"> </w:t>
      </w:r>
      <w:proofErr w:type="spellStart"/>
      <w:r w:rsidRPr="00E6746A">
        <w:rPr>
          <w:sz w:val="48"/>
          <w:szCs w:val="48"/>
        </w:rPr>
        <w:t>uri</w:t>
      </w:r>
      <w:proofErr w:type="spellEnd"/>
      <w:r w:rsidRPr="00E6746A">
        <w:rPr>
          <w:spacing w:val="1"/>
          <w:sz w:val="48"/>
          <w:szCs w:val="48"/>
        </w:rPr>
        <w:t xml:space="preserve"> </w:t>
      </w:r>
      <w:proofErr w:type="spellStart"/>
      <w:r w:rsidRPr="00E6746A">
        <w:rPr>
          <w:sz w:val="48"/>
          <w:szCs w:val="48"/>
        </w:rPr>
        <w:t>whakatipu</w:t>
      </w:r>
      <w:proofErr w:type="spellEnd"/>
    </w:p>
    <w:p w14:paraId="0F4A3EA1" w14:textId="77777777" w:rsidR="00F16595" w:rsidRPr="00E6746A" w:rsidRDefault="00E6746A" w:rsidP="00E6746A">
      <w:pPr>
        <w:spacing w:before="480"/>
        <w:jc w:val="center"/>
        <w:rPr>
          <w:sz w:val="48"/>
          <w:szCs w:val="48"/>
        </w:rPr>
      </w:pPr>
      <w:r w:rsidRPr="00E6746A">
        <w:rPr>
          <w:sz w:val="48"/>
          <w:szCs w:val="48"/>
        </w:rPr>
        <w:t>Foster</w:t>
      </w:r>
      <w:r w:rsidRPr="00E6746A">
        <w:rPr>
          <w:spacing w:val="20"/>
          <w:sz w:val="48"/>
          <w:szCs w:val="48"/>
        </w:rPr>
        <w:t xml:space="preserve"> </w:t>
      </w:r>
      <w:r w:rsidRPr="00E6746A">
        <w:rPr>
          <w:sz w:val="48"/>
          <w:szCs w:val="48"/>
        </w:rPr>
        <w:t>the</w:t>
      </w:r>
      <w:r w:rsidRPr="00E6746A">
        <w:rPr>
          <w:spacing w:val="20"/>
          <w:sz w:val="48"/>
          <w:szCs w:val="48"/>
        </w:rPr>
        <w:t xml:space="preserve"> </w:t>
      </w:r>
      <w:r w:rsidRPr="00E6746A">
        <w:rPr>
          <w:sz w:val="48"/>
          <w:szCs w:val="48"/>
        </w:rPr>
        <w:t>pathway</w:t>
      </w:r>
      <w:r w:rsidRPr="00E6746A">
        <w:rPr>
          <w:spacing w:val="20"/>
          <w:sz w:val="48"/>
          <w:szCs w:val="48"/>
        </w:rPr>
        <w:t xml:space="preserve"> </w:t>
      </w:r>
      <w:r w:rsidRPr="00E6746A">
        <w:rPr>
          <w:sz w:val="48"/>
          <w:szCs w:val="48"/>
        </w:rPr>
        <w:t>of</w:t>
      </w:r>
      <w:r w:rsidRPr="00E6746A">
        <w:rPr>
          <w:spacing w:val="20"/>
          <w:sz w:val="48"/>
          <w:szCs w:val="48"/>
        </w:rPr>
        <w:t xml:space="preserve"> </w:t>
      </w:r>
      <w:r w:rsidRPr="00E6746A">
        <w:rPr>
          <w:sz w:val="48"/>
          <w:szCs w:val="48"/>
        </w:rPr>
        <w:t>knowledge to</w:t>
      </w:r>
      <w:r w:rsidRPr="00E6746A">
        <w:rPr>
          <w:spacing w:val="2"/>
          <w:sz w:val="48"/>
          <w:szCs w:val="48"/>
        </w:rPr>
        <w:t xml:space="preserve"> </w:t>
      </w:r>
      <w:r w:rsidRPr="00E6746A">
        <w:rPr>
          <w:sz w:val="48"/>
          <w:szCs w:val="48"/>
        </w:rPr>
        <w:t>strength,</w:t>
      </w:r>
      <w:r w:rsidRPr="00E6746A">
        <w:rPr>
          <w:spacing w:val="2"/>
          <w:sz w:val="48"/>
          <w:szCs w:val="48"/>
        </w:rPr>
        <w:t xml:space="preserve"> </w:t>
      </w:r>
      <w:proofErr w:type="gramStart"/>
      <w:r w:rsidRPr="00E6746A">
        <w:rPr>
          <w:sz w:val="48"/>
          <w:szCs w:val="48"/>
        </w:rPr>
        <w:t>independence</w:t>
      </w:r>
      <w:proofErr w:type="gramEnd"/>
      <w:r w:rsidRPr="00E6746A">
        <w:rPr>
          <w:spacing w:val="2"/>
          <w:sz w:val="48"/>
          <w:szCs w:val="48"/>
        </w:rPr>
        <w:t xml:space="preserve"> </w:t>
      </w:r>
      <w:r w:rsidRPr="00E6746A">
        <w:rPr>
          <w:sz w:val="48"/>
          <w:szCs w:val="48"/>
        </w:rPr>
        <w:t>and</w:t>
      </w:r>
      <w:r w:rsidRPr="00E6746A">
        <w:rPr>
          <w:spacing w:val="1"/>
          <w:sz w:val="48"/>
          <w:szCs w:val="48"/>
        </w:rPr>
        <w:t xml:space="preserve"> </w:t>
      </w:r>
      <w:r w:rsidRPr="00E6746A">
        <w:rPr>
          <w:sz w:val="48"/>
          <w:szCs w:val="48"/>
        </w:rPr>
        <w:t>growth</w:t>
      </w:r>
      <w:r w:rsidRPr="00E6746A">
        <w:rPr>
          <w:spacing w:val="-6"/>
          <w:sz w:val="48"/>
          <w:szCs w:val="48"/>
        </w:rPr>
        <w:t xml:space="preserve"> </w:t>
      </w:r>
      <w:r w:rsidRPr="00E6746A">
        <w:rPr>
          <w:sz w:val="48"/>
          <w:szCs w:val="48"/>
        </w:rPr>
        <w:t>for</w:t>
      </w:r>
      <w:r w:rsidRPr="00E6746A">
        <w:rPr>
          <w:spacing w:val="-5"/>
          <w:sz w:val="48"/>
          <w:szCs w:val="48"/>
        </w:rPr>
        <w:t xml:space="preserve"> </w:t>
      </w:r>
      <w:r w:rsidRPr="00E6746A">
        <w:rPr>
          <w:sz w:val="48"/>
          <w:szCs w:val="48"/>
        </w:rPr>
        <w:t>future</w:t>
      </w:r>
      <w:r w:rsidRPr="00E6746A">
        <w:rPr>
          <w:spacing w:val="-5"/>
          <w:sz w:val="48"/>
          <w:szCs w:val="48"/>
        </w:rPr>
        <w:t xml:space="preserve"> </w:t>
      </w:r>
      <w:r w:rsidRPr="00E6746A">
        <w:rPr>
          <w:sz w:val="48"/>
          <w:szCs w:val="48"/>
        </w:rPr>
        <w:t>generations</w:t>
      </w:r>
    </w:p>
    <w:p w14:paraId="2E5163DB" w14:textId="77777777" w:rsidR="001D3E4E" w:rsidRPr="00B47C82" w:rsidRDefault="001D3E4E" w:rsidP="003A5FEA">
      <w:pPr>
        <w:sectPr w:rsidR="001D3E4E" w:rsidRPr="00B47C82" w:rsidSect="00E6746A">
          <w:footerReference w:type="even" r:id="rId25"/>
          <w:endnotePr>
            <w:numFmt w:val="decimal"/>
          </w:endnotePr>
          <w:pgSz w:w="11907" w:h="16840" w:code="9"/>
          <w:pgMar w:top="1418" w:right="1701" w:bottom="1134" w:left="1843" w:header="284" w:footer="425" w:gutter="284"/>
          <w:pgNumType w:fmt="lowerRoman"/>
          <w:cols w:space="720"/>
          <w:vAlign w:val="center"/>
        </w:sectPr>
      </w:pPr>
    </w:p>
    <w:p w14:paraId="03709956" w14:textId="77777777" w:rsidR="00EF27EC" w:rsidRPr="00933217" w:rsidRDefault="0000534D" w:rsidP="0000534D">
      <w:pPr>
        <w:pStyle w:val="Heading1"/>
      </w:pPr>
      <w:bookmarkStart w:id="5" w:name="_Toc95742638"/>
      <w:r w:rsidRPr="00933217">
        <w:lastRenderedPageBreak/>
        <w:t>He Kupu Whakataki: Te</w:t>
      </w:r>
      <w:r>
        <w:t> </w:t>
      </w:r>
      <w:r w:rsidRPr="00933217">
        <w:t>Take Hei Ārai Mate Pukupuku</w:t>
      </w:r>
      <w:r>
        <w:br/>
      </w:r>
      <w:r>
        <w:rPr>
          <w:color w:val="22B893"/>
        </w:rPr>
        <w:t>Introduction: The c</w:t>
      </w:r>
      <w:r w:rsidRPr="00C000B2">
        <w:rPr>
          <w:color w:val="22B893"/>
        </w:rPr>
        <w:t xml:space="preserve">ase </w:t>
      </w:r>
      <w:r>
        <w:rPr>
          <w:color w:val="22B893"/>
        </w:rPr>
        <w:t>f</w:t>
      </w:r>
      <w:r w:rsidRPr="00C000B2">
        <w:rPr>
          <w:color w:val="22B893"/>
        </w:rPr>
        <w:t xml:space="preserve">or </w:t>
      </w:r>
      <w:r>
        <w:rPr>
          <w:color w:val="22B893"/>
        </w:rPr>
        <w:t>c</w:t>
      </w:r>
      <w:r w:rsidRPr="00C000B2">
        <w:rPr>
          <w:color w:val="22B893"/>
        </w:rPr>
        <w:t xml:space="preserve">ancer </w:t>
      </w:r>
      <w:r>
        <w:rPr>
          <w:color w:val="22B893"/>
        </w:rPr>
        <w:t>p</w:t>
      </w:r>
      <w:r w:rsidRPr="00C000B2">
        <w:rPr>
          <w:color w:val="22B893"/>
        </w:rPr>
        <w:t>revention</w:t>
      </w:r>
      <w:bookmarkEnd w:id="5"/>
    </w:p>
    <w:p w14:paraId="11B72461" w14:textId="77777777" w:rsidR="00EF27EC" w:rsidRPr="00933217" w:rsidRDefault="00EF27EC" w:rsidP="00C000B2">
      <w:pPr>
        <w:pStyle w:val="Heading2"/>
      </w:pPr>
      <w:bookmarkStart w:id="6" w:name="_Toc95742639"/>
      <w:r w:rsidRPr="00933217">
        <w:t>Up to half of all cancers can be prevented</w:t>
      </w:r>
      <w:bookmarkEnd w:id="6"/>
    </w:p>
    <w:p w14:paraId="39FB5031" w14:textId="77777777" w:rsidR="00EF27EC" w:rsidRPr="00933217" w:rsidRDefault="00EF27EC" w:rsidP="00C000B2">
      <w:r w:rsidRPr="00933217">
        <w:t>Cancer care is a rapidly evolving area of health care. This is a good thing. The frequent advances in cancer diagnosis and treatment present continual opportunities to do better for people diagnosed with cancer. However, in the face of rapid cancer innovation, it is easy to forget that it is possible to stop people developing cancer in the first place. Cancer can be prevented: not always and not fully, but much more than most people realise.</w:t>
      </w:r>
    </w:p>
    <w:p w14:paraId="79402F0E" w14:textId="77777777" w:rsidR="00C000B2" w:rsidRDefault="00C000B2" w:rsidP="00C000B2"/>
    <w:p w14:paraId="2E5A2253" w14:textId="77777777" w:rsidR="00EF27EC" w:rsidRPr="00933217" w:rsidRDefault="00EF27EC" w:rsidP="00C000B2">
      <w:r w:rsidRPr="00933217">
        <w:t xml:space="preserve">Cancer is incredibly </w:t>
      </w:r>
      <w:proofErr w:type="gramStart"/>
      <w:r w:rsidRPr="00933217">
        <w:t>complex</w:t>
      </w:r>
      <w:proofErr w:type="gramEnd"/>
      <w:r w:rsidRPr="00933217">
        <w:t xml:space="preserve"> and we cannot tell which individual will develop cancer and which individual won’t. However, across the whole population, preventing many cancers is possible by reducing or removing everyone’s exposure to the cancer risk factors present in our lives and</w:t>
      </w:r>
      <w:r w:rsidR="00C000B2">
        <w:t xml:space="preserve"> </w:t>
      </w:r>
      <w:r w:rsidRPr="00933217">
        <w:t xml:space="preserve">environments: tobacco, alcohol, poor nutrition, physical inactivity, excess body weight, excessive ultraviolet </w:t>
      </w:r>
      <w:proofErr w:type="gramStart"/>
      <w:r w:rsidRPr="00933217">
        <w:t>radiation</w:t>
      </w:r>
      <w:proofErr w:type="gramEnd"/>
      <w:r w:rsidRPr="00933217">
        <w:t xml:space="preserve"> and chronic infections.</w:t>
      </w:r>
    </w:p>
    <w:p w14:paraId="52E395E7" w14:textId="77777777" w:rsidR="00C000B2" w:rsidRDefault="00C000B2" w:rsidP="00C000B2"/>
    <w:p w14:paraId="7FFAB141" w14:textId="77777777" w:rsidR="00EF27EC" w:rsidRPr="00C000B2" w:rsidRDefault="00EF27EC" w:rsidP="00C000B2">
      <w:r w:rsidRPr="00933217">
        <w:t>About 30–50 percent of cancers globally are preventable.</w:t>
      </w:r>
      <w:r w:rsidR="000A0B2F">
        <w:rPr>
          <w:vertAlign w:val="superscript"/>
        </w:rPr>
        <w:t>1</w:t>
      </w:r>
      <w:r w:rsidR="00C000B2">
        <w:t xml:space="preserve"> </w:t>
      </w:r>
      <w:r w:rsidRPr="00933217">
        <w:t>If we applied that proportion to the 26,000 people diagnosed with cancer in Aotearoa New Zealand in 2018,</w:t>
      </w:r>
      <w:r w:rsidR="000A0B2F">
        <w:rPr>
          <w:vertAlign w:val="superscript"/>
        </w:rPr>
        <w:t>2</w:t>
      </w:r>
      <w:r w:rsidR="00C000B2">
        <w:t xml:space="preserve"> </w:t>
      </w:r>
      <w:r w:rsidRPr="00C000B2">
        <w:t>that would mean 7,800 to 13,000 fewer people would have developed cancer that year. It is difficult to adequately describe the stress and upheaval that cancer brings to the lives of people diagnosed with it and their whānau. It is even more difficult to capture the far-reaching and intergenerational impact of a loved one dying of cancer. If we can prevent such suffering for up to 13,000 people and their whānau each year, we should.</w:t>
      </w:r>
    </w:p>
    <w:p w14:paraId="4F6F11DC" w14:textId="77777777" w:rsidR="00EF27EC" w:rsidRPr="00C000B2" w:rsidRDefault="00EF27EC" w:rsidP="00C000B2"/>
    <w:p w14:paraId="730CF983" w14:textId="77777777" w:rsidR="00EF27EC" w:rsidRPr="00C000B2" w:rsidRDefault="00EF27EC" w:rsidP="00C000B2">
      <w:pPr>
        <w:pStyle w:val="Heading2"/>
      </w:pPr>
      <w:bookmarkStart w:id="7" w:name="_Toc95742640"/>
      <w:r w:rsidRPr="00C000B2">
        <w:lastRenderedPageBreak/>
        <w:t>The burden of cancer is not the same for everyone</w:t>
      </w:r>
      <w:bookmarkEnd w:id="7"/>
    </w:p>
    <w:p w14:paraId="53CD1990" w14:textId="77777777" w:rsidR="00EF27EC" w:rsidRPr="000A0B2F" w:rsidRDefault="00EF27EC" w:rsidP="00C000B2">
      <w:pPr>
        <w:keepLines/>
      </w:pPr>
      <w:r w:rsidRPr="00C000B2">
        <w:t>Cancer does not affect all groups in Aotearoa evenly. Inequities exist at every step of the cancer continuum – from how likely a person is to develop cancer to how quickly they are diagnosed, how accessible and appropriate their treatment is, and how they and their whānau are supported</w:t>
      </w:r>
      <w:r w:rsidR="00C000B2">
        <w:t xml:space="preserve"> </w:t>
      </w:r>
      <w:r w:rsidRPr="00C000B2">
        <w:t>through the cancer journey. Inequities interact and compound, resulting in significant disadvantage for some compared to others. Māori are 20</w:t>
      </w:r>
      <w:r w:rsidR="00C000B2">
        <w:t> </w:t>
      </w:r>
      <w:r w:rsidRPr="00C000B2">
        <w:t>percent more likely to develop cancer than non-Māori and twice as likely to die, with poorer survival across nearly all the most common cancers.</w:t>
      </w:r>
      <w:r w:rsidR="000A0B2F">
        <w:rPr>
          <w:vertAlign w:val="superscript"/>
        </w:rPr>
        <w:t>3</w:t>
      </w:r>
      <w:r w:rsidR="00C000B2">
        <w:t xml:space="preserve"> </w:t>
      </w:r>
      <w:r w:rsidRPr="00C000B2">
        <w:t xml:space="preserve">Pacific peoples in Aotearoa </w:t>
      </w:r>
      <w:r w:rsidRPr="000E650D">
        <w:rPr>
          <w:spacing w:val="-2"/>
        </w:rPr>
        <w:t>are also more likely to develop certain cancers and less likely to survive some of</w:t>
      </w:r>
      <w:r w:rsidR="000E650D" w:rsidRPr="000E650D">
        <w:rPr>
          <w:spacing w:val="-2"/>
        </w:rPr>
        <w:t xml:space="preserve"> </w:t>
      </w:r>
      <w:r w:rsidRPr="000E650D">
        <w:rPr>
          <w:spacing w:val="-2"/>
        </w:rPr>
        <w:t>them.</w:t>
      </w:r>
      <w:r w:rsidR="000A0B2F">
        <w:rPr>
          <w:spacing w:val="-2"/>
          <w:vertAlign w:val="superscript"/>
        </w:rPr>
        <w:t>4–6</w:t>
      </w:r>
      <w:r w:rsidRPr="00C000B2">
        <w:t xml:space="preserve"> Similar inequities exist (or are likely to exist) across a range of factors including by levels of deprivation,</w:t>
      </w:r>
      <w:r w:rsidR="000A0B2F">
        <w:rPr>
          <w:vertAlign w:val="superscript"/>
        </w:rPr>
        <w:t>7</w:t>
      </w:r>
      <w:r w:rsidRPr="00C000B2">
        <w:t xml:space="preserve"> living with mental illness,</w:t>
      </w:r>
      <w:r w:rsidR="000A0B2F">
        <w:rPr>
          <w:vertAlign w:val="superscript"/>
        </w:rPr>
        <w:t>8,9</w:t>
      </w:r>
      <w:r w:rsidRPr="00C000B2">
        <w:t xml:space="preserve"> living with disability,</w:t>
      </w:r>
      <w:r w:rsidR="000A0B2F">
        <w:rPr>
          <w:vertAlign w:val="superscript"/>
        </w:rPr>
        <w:t>10–12</w:t>
      </w:r>
      <w:r w:rsidRPr="00C000B2">
        <w:t xml:space="preserve"> sexual orientation,</w:t>
      </w:r>
      <w:r w:rsidRPr="000A0B2F">
        <w:rPr>
          <w:vertAlign w:val="superscript"/>
        </w:rPr>
        <w:t>13,14</w:t>
      </w:r>
      <w:r w:rsidRPr="00C000B2">
        <w:t xml:space="preserve"> and geography or rurality.</w:t>
      </w:r>
      <w:r w:rsidRPr="000A0B2F">
        <w:rPr>
          <w:vertAlign w:val="superscript"/>
        </w:rPr>
        <w:t>15</w:t>
      </w:r>
    </w:p>
    <w:p w14:paraId="7E5A96A1" w14:textId="77777777" w:rsidR="00EF27EC" w:rsidRPr="000A0B2F" w:rsidRDefault="00EF27EC" w:rsidP="000E650D"/>
    <w:p w14:paraId="74519F36" w14:textId="77777777" w:rsidR="00EF27EC" w:rsidRPr="00C000B2" w:rsidRDefault="00EF27EC" w:rsidP="000E650D">
      <w:bookmarkStart w:id="8" w:name="Figure_1:_Incidence_and_mortality_rates_"/>
      <w:bookmarkStart w:id="9" w:name="_bookmark3"/>
      <w:bookmarkEnd w:id="8"/>
      <w:bookmarkEnd w:id="9"/>
      <w:r w:rsidRPr="000A0B2F">
        <w:t xml:space="preserve">The cancers that are more common for Māori (including liver, lung, </w:t>
      </w:r>
      <w:proofErr w:type="gramStart"/>
      <w:r w:rsidRPr="000A0B2F">
        <w:t>stomach</w:t>
      </w:r>
      <w:proofErr w:type="gramEnd"/>
      <w:r w:rsidRPr="000A0B2F">
        <w:t xml:space="preserve"> and pancreas) (</w:t>
      </w:r>
      <w:r w:rsidR="000E650D" w:rsidRPr="000A0B2F">
        <w:fldChar w:fldCharType="begin"/>
      </w:r>
      <w:r w:rsidR="000E650D" w:rsidRPr="000A0B2F">
        <w:instrText xml:space="preserve"> REF _Ref94776735 \h </w:instrText>
      </w:r>
      <w:r w:rsidR="000A0B2F">
        <w:instrText xml:space="preserve"> \* MERGEFORMAT </w:instrText>
      </w:r>
      <w:r w:rsidR="000E650D" w:rsidRPr="000A0B2F">
        <w:fldChar w:fldCharType="separate"/>
      </w:r>
      <w:r w:rsidR="006E6019">
        <w:t>Figure 1</w:t>
      </w:r>
      <w:r w:rsidR="000E650D" w:rsidRPr="000A0B2F">
        <w:fldChar w:fldCharType="end"/>
      </w:r>
      <w:r w:rsidRPr="000A0B2F">
        <w:t xml:space="preserve">) tend to be highly preventable. Pacific peoples in Aotearoa are also more likely to develop several cancers (including liver, lung, </w:t>
      </w:r>
      <w:proofErr w:type="gramStart"/>
      <w:r w:rsidRPr="000A0B2F">
        <w:t>stomach</w:t>
      </w:r>
      <w:proofErr w:type="gramEnd"/>
      <w:r w:rsidRPr="000A0B2F">
        <w:t xml:space="preserve"> and uterus) (</w:t>
      </w:r>
      <w:r w:rsidR="000E650D" w:rsidRPr="000A0B2F">
        <w:fldChar w:fldCharType="begin"/>
      </w:r>
      <w:r w:rsidR="000E650D" w:rsidRPr="000A0B2F">
        <w:instrText xml:space="preserve"> REF _Ref94776773 \h </w:instrText>
      </w:r>
      <w:r w:rsidR="000A0B2F">
        <w:instrText xml:space="preserve"> \* MERGEFORMAT </w:instrText>
      </w:r>
      <w:r w:rsidR="000E650D" w:rsidRPr="000A0B2F">
        <w:fldChar w:fldCharType="separate"/>
      </w:r>
      <w:r w:rsidR="006E6019">
        <w:t>Figure 2</w:t>
      </w:r>
      <w:r w:rsidR="000E650D" w:rsidRPr="000A0B2F">
        <w:fldChar w:fldCharType="end"/>
      </w:r>
      <w:r w:rsidRPr="000A0B2F">
        <w:t>) that have a high preventable component. The pattern of preventable cancers is similar for those living in deprived areas, to the extent that poverty has been described as a cancer-causing risk factor or carcinogen.</w:t>
      </w:r>
      <w:r w:rsidRPr="000A0B2F">
        <w:rPr>
          <w:vertAlign w:val="superscript"/>
        </w:rPr>
        <w:t>16</w:t>
      </w:r>
    </w:p>
    <w:p w14:paraId="7A55DD37" w14:textId="77777777" w:rsidR="00EF27EC" w:rsidRPr="00C000B2" w:rsidRDefault="00EF27EC" w:rsidP="000E650D"/>
    <w:p w14:paraId="4B1477E6" w14:textId="77777777" w:rsidR="00EF27EC" w:rsidRDefault="00EF27EC" w:rsidP="000E650D">
      <w:r w:rsidRPr="00C000B2">
        <w:t>The burden of cancer is not the same for everyone. If we do not do enough to prevent cancer now, responding to the predicted increase in the number of people with cancer will require much greater cancer service capacity and the increase may also exacerbate the cancer inequities that exist</w:t>
      </w:r>
      <w:r w:rsidR="000E650D">
        <w:t xml:space="preserve"> </w:t>
      </w:r>
      <w:r w:rsidRPr="00C000B2">
        <w:t xml:space="preserve">today. For both those reasons, doing more to prevent cancer is imperative and urgent. Aotearoa has untapped potential for cancer prevention strategies to reduce inequities in cancer, but to realise this potential we need prevention activities that are led and delivered by Māori, Pacific peoples and other populations experiencing disparities, recognising that what works for one group will not necessarily work for others. This report supports the commitment to achieving equitable health outcomes for Māori and Pacific peoples as set out in the </w:t>
      </w:r>
      <w:r w:rsidRPr="00C000B2">
        <w:rPr>
          <w:i/>
        </w:rPr>
        <w:t>New Zealand Cancer Action Plan 2019</w:t>
      </w:r>
      <w:r w:rsidR="000E650D">
        <w:rPr>
          <w:i/>
        </w:rPr>
        <w:t>–</w:t>
      </w:r>
      <w:r w:rsidRPr="00C000B2">
        <w:rPr>
          <w:i/>
        </w:rPr>
        <w:t>2029</w:t>
      </w:r>
      <w:r w:rsidR="000E650D">
        <w:rPr>
          <w:i/>
        </w:rPr>
        <w:t xml:space="preserve"> </w:t>
      </w:r>
      <w:r w:rsidRPr="00C000B2">
        <w:rPr>
          <w:i/>
        </w:rPr>
        <w:t xml:space="preserve">– Te </w:t>
      </w:r>
      <w:proofErr w:type="spellStart"/>
      <w:r w:rsidRPr="00C000B2">
        <w:rPr>
          <w:i/>
        </w:rPr>
        <w:t>Mahere</w:t>
      </w:r>
      <w:proofErr w:type="spellEnd"/>
      <w:r w:rsidRPr="00C000B2">
        <w:rPr>
          <w:i/>
        </w:rPr>
        <w:t xml:space="preserve"> </w:t>
      </w:r>
      <w:proofErr w:type="spellStart"/>
      <w:r w:rsidRPr="00C000B2">
        <w:rPr>
          <w:i/>
        </w:rPr>
        <w:t>mō</w:t>
      </w:r>
      <w:proofErr w:type="spellEnd"/>
      <w:r w:rsidRPr="00C000B2">
        <w:rPr>
          <w:i/>
        </w:rPr>
        <w:t xml:space="preserve"> </w:t>
      </w:r>
      <w:proofErr w:type="spellStart"/>
      <w:r w:rsidRPr="00C000B2">
        <w:rPr>
          <w:i/>
        </w:rPr>
        <w:t>te</w:t>
      </w:r>
      <w:proofErr w:type="spellEnd"/>
      <w:r w:rsidRPr="00C000B2">
        <w:rPr>
          <w:i/>
        </w:rPr>
        <w:t xml:space="preserve"> Mate </w:t>
      </w:r>
      <w:proofErr w:type="spellStart"/>
      <w:r w:rsidRPr="00C000B2">
        <w:rPr>
          <w:i/>
        </w:rPr>
        <w:t>Pukupuku</w:t>
      </w:r>
      <w:proofErr w:type="spellEnd"/>
      <w:r w:rsidRPr="00C000B2">
        <w:rPr>
          <w:i/>
        </w:rPr>
        <w:t xml:space="preserve"> o Aotearoa 2019</w:t>
      </w:r>
      <w:r w:rsidR="000E650D">
        <w:rPr>
          <w:i/>
        </w:rPr>
        <w:t>–</w:t>
      </w:r>
      <w:r w:rsidRPr="00C000B2">
        <w:rPr>
          <w:i/>
        </w:rPr>
        <w:t>2029,</w:t>
      </w:r>
      <w:r w:rsidRPr="000A0B2F">
        <w:rPr>
          <w:vertAlign w:val="superscript"/>
        </w:rPr>
        <w:t>17</w:t>
      </w:r>
      <w:r w:rsidRPr="000E650D">
        <w:t xml:space="preserve"> </w:t>
      </w:r>
      <w:proofErr w:type="spellStart"/>
      <w:r w:rsidRPr="00C000B2">
        <w:rPr>
          <w:i/>
        </w:rPr>
        <w:t>Whakamaua</w:t>
      </w:r>
      <w:proofErr w:type="spellEnd"/>
      <w:r w:rsidRPr="00C000B2">
        <w:rPr>
          <w:i/>
        </w:rPr>
        <w:t>: Māori Health Action Plan 2020–2025,</w:t>
      </w:r>
      <w:r w:rsidRPr="000A0B2F">
        <w:rPr>
          <w:vertAlign w:val="superscript"/>
        </w:rPr>
        <w:t>18</w:t>
      </w:r>
      <w:r w:rsidRPr="00C000B2">
        <w:t xml:space="preserve"> and </w:t>
      </w:r>
      <w:r w:rsidRPr="00C000B2">
        <w:rPr>
          <w:i/>
        </w:rPr>
        <w:t xml:space="preserve">Ola </w:t>
      </w:r>
      <w:proofErr w:type="spellStart"/>
      <w:r w:rsidRPr="00C000B2">
        <w:rPr>
          <w:i/>
        </w:rPr>
        <w:t>Manuia</w:t>
      </w:r>
      <w:proofErr w:type="spellEnd"/>
      <w:r w:rsidRPr="00C000B2">
        <w:rPr>
          <w:i/>
        </w:rPr>
        <w:t>: Pacific Health and Wellbeing Action Plan 2020–2025.</w:t>
      </w:r>
      <w:r w:rsidRPr="000A0B2F">
        <w:rPr>
          <w:vertAlign w:val="superscript"/>
        </w:rPr>
        <w:t>19</w:t>
      </w:r>
    </w:p>
    <w:p w14:paraId="6B488233" w14:textId="77777777" w:rsidR="000E650D" w:rsidRPr="00C000B2" w:rsidRDefault="000E650D" w:rsidP="000E650D"/>
    <w:p w14:paraId="57B7E1F3" w14:textId="4D271AB5" w:rsidR="00EF27EC" w:rsidRPr="00C000B2" w:rsidRDefault="000E650D" w:rsidP="000E650D">
      <w:pPr>
        <w:pStyle w:val="Figure"/>
      </w:pPr>
      <w:bookmarkStart w:id="10" w:name="_Ref94776735"/>
      <w:bookmarkStart w:id="11" w:name="_Toc95059122"/>
      <w:r>
        <w:lastRenderedPageBreak/>
        <w:t>Figure </w:t>
      </w:r>
      <w:r w:rsidR="00F50B6E">
        <w:fldChar w:fldCharType="begin"/>
      </w:r>
      <w:r w:rsidR="00F50B6E">
        <w:instrText xml:space="preserve"> SEQ Figure \* ARABIC </w:instrText>
      </w:r>
      <w:r w:rsidR="00F50B6E">
        <w:fldChar w:fldCharType="separate"/>
      </w:r>
      <w:r w:rsidR="006E6019">
        <w:rPr>
          <w:noProof/>
        </w:rPr>
        <w:t>1</w:t>
      </w:r>
      <w:r w:rsidR="00F50B6E">
        <w:rPr>
          <w:noProof/>
        </w:rPr>
        <w:fldChar w:fldCharType="end"/>
      </w:r>
      <w:bookmarkEnd w:id="10"/>
      <w:r w:rsidR="00EF27EC" w:rsidRPr="00C000B2">
        <w:t>: Incidence and mortality rates for Māori and non-Māori, non-Pacific, non-Asian by cancer type, 2007–2017</w:t>
      </w:r>
      <w:bookmarkEnd w:id="11"/>
      <w:r w:rsidR="00D657A2">
        <w:t>*</w:t>
      </w:r>
    </w:p>
    <w:p w14:paraId="44641832" w14:textId="77777777" w:rsidR="00EF27EC" w:rsidRPr="00C000B2" w:rsidRDefault="000E650D" w:rsidP="000E650D">
      <w:r>
        <w:rPr>
          <w:noProof/>
          <w:lang w:eastAsia="en-NZ"/>
        </w:rPr>
        <w:drawing>
          <wp:inline distT="0" distB="0" distL="0" distR="0" wp14:anchorId="7DB1FFD6" wp14:editId="30B0B41F">
            <wp:extent cx="5130165" cy="2391337"/>
            <wp:effectExtent l="0" t="0" r="0" b="9525"/>
            <wp:docPr id="1959" name="Picture 1959" title="Figure 1: Incidence and mortality rates for Māori and non-Māori, non-Pacific, non-Asian by cancer type, 20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0165" cy="2391337"/>
                    </a:xfrm>
                    <a:prstGeom prst="rect">
                      <a:avLst/>
                    </a:prstGeom>
                  </pic:spPr>
                </pic:pic>
              </a:graphicData>
            </a:graphic>
          </wp:inline>
        </w:drawing>
      </w:r>
    </w:p>
    <w:p w14:paraId="4F0105BD" w14:textId="77777777" w:rsidR="00EF27EC" w:rsidRPr="00C000B2" w:rsidRDefault="00EF27EC" w:rsidP="000E650D"/>
    <w:p w14:paraId="7545F9C0" w14:textId="70386E10" w:rsidR="00EF27EC" w:rsidRPr="00C000B2" w:rsidRDefault="000E650D" w:rsidP="000E650D">
      <w:pPr>
        <w:pStyle w:val="Figure"/>
      </w:pPr>
      <w:bookmarkStart w:id="12" w:name="The_size_of_the_opportunity_for_cancer_p"/>
      <w:bookmarkStart w:id="13" w:name="Figure_2:_Incidence_and_mortality_rates_"/>
      <w:bookmarkStart w:id="14" w:name="_bookmark4"/>
      <w:bookmarkStart w:id="15" w:name="_Ref94776773"/>
      <w:bookmarkStart w:id="16" w:name="_Toc95059123"/>
      <w:bookmarkEnd w:id="12"/>
      <w:bookmarkEnd w:id="13"/>
      <w:bookmarkEnd w:id="14"/>
      <w:r>
        <w:t>Figure </w:t>
      </w:r>
      <w:r w:rsidR="00F50B6E">
        <w:fldChar w:fldCharType="begin"/>
      </w:r>
      <w:r w:rsidR="00F50B6E">
        <w:instrText xml:space="preserve"> SEQ Figure \* ARABIC </w:instrText>
      </w:r>
      <w:r w:rsidR="00F50B6E">
        <w:fldChar w:fldCharType="separate"/>
      </w:r>
      <w:r w:rsidR="006E6019">
        <w:rPr>
          <w:noProof/>
        </w:rPr>
        <w:t>2</w:t>
      </w:r>
      <w:r w:rsidR="00F50B6E">
        <w:rPr>
          <w:noProof/>
        </w:rPr>
        <w:fldChar w:fldCharType="end"/>
      </w:r>
      <w:bookmarkEnd w:id="15"/>
      <w:r w:rsidR="00EF27EC" w:rsidRPr="00C000B2">
        <w:t>: Incidence and mortality rates for Pacific peoples and non-Māori, non-Pacific, non-Asian by cancer type, 2007–2017</w:t>
      </w:r>
      <w:bookmarkEnd w:id="16"/>
      <w:r w:rsidR="00D657A2">
        <w:t>*</w:t>
      </w:r>
    </w:p>
    <w:p w14:paraId="188B2FA4" w14:textId="77777777" w:rsidR="00EF27EC" w:rsidRPr="00C000B2" w:rsidRDefault="000E650D" w:rsidP="000E650D">
      <w:r>
        <w:rPr>
          <w:noProof/>
          <w:lang w:eastAsia="en-NZ"/>
        </w:rPr>
        <w:drawing>
          <wp:inline distT="0" distB="0" distL="0" distR="0" wp14:anchorId="05FADB03" wp14:editId="03B0BC17">
            <wp:extent cx="5130165" cy="2359547"/>
            <wp:effectExtent l="0" t="0" r="0" b="3175"/>
            <wp:docPr id="1960" name="Picture 1960" title="Figure 2: Incidence and mortality rates for Pacific peoples and non-Māori, non-Pacific, non-Asian by cancer type, 20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0165" cy="2359547"/>
                    </a:xfrm>
                    <a:prstGeom prst="rect">
                      <a:avLst/>
                    </a:prstGeom>
                  </pic:spPr>
                </pic:pic>
              </a:graphicData>
            </a:graphic>
          </wp:inline>
        </w:drawing>
      </w:r>
    </w:p>
    <w:p w14:paraId="2EAF67D8" w14:textId="3FE353A0" w:rsidR="00EF27EC" w:rsidRDefault="00EF27EC" w:rsidP="00EF27EC">
      <w:pPr>
        <w:rPr>
          <w:rFonts w:ascii="Verdana"/>
        </w:rPr>
      </w:pPr>
    </w:p>
    <w:p w14:paraId="0F0BE5B0" w14:textId="56774C21" w:rsidR="00D657A2" w:rsidRDefault="00D657A2" w:rsidP="00EF27EC">
      <w:pPr>
        <w:rPr>
          <w:rFonts w:ascii="Verdana"/>
        </w:rPr>
      </w:pPr>
    </w:p>
    <w:p w14:paraId="39B07ADC" w14:textId="1130763F" w:rsidR="00D657A2" w:rsidRDefault="00D657A2" w:rsidP="00EF27EC">
      <w:pPr>
        <w:rPr>
          <w:rFonts w:ascii="Verdana"/>
        </w:rPr>
      </w:pPr>
    </w:p>
    <w:p w14:paraId="0B350E81" w14:textId="5D00B043" w:rsidR="00D657A2" w:rsidRDefault="00D657A2" w:rsidP="00EF27EC">
      <w:pPr>
        <w:rPr>
          <w:rFonts w:ascii="Verdana"/>
        </w:rPr>
      </w:pPr>
    </w:p>
    <w:p w14:paraId="7E76F166" w14:textId="346F7F94" w:rsidR="00D657A2" w:rsidRDefault="00D657A2" w:rsidP="00EF27EC">
      <w:pPr>
        <w:rPr>
          <w:rFonts w:ascii="Verdana"/>
        </w:rPr>
      </w:pPr>
    </w:p>
    <w:p w14:paraId="347E2429" w14:textId="340B3731" w:rsidR="00D657A2" w:rsidRDefault="00D657A2" w:rsidP="00EF27EC">
      <w:pPr>
        <w:rPr>
          <w:rFonts w:ascii="Verdana"/>
        </w:rPr>
      </w:pPr>
    </w:p>
    <w:p w14:paraId="2D511AA9" w14:textId="07440A25" w:rsidR="00D657A2" w:rsidRDefault="00D657A2" w:rsidP="00EF27EC">
      <w:pPr>
        <w:rPr>
          <w:rFonts w:ascii="Verdana"/>
        </w:rPr>
      </w:pPr>
    </w:p>
    <w:p w14:paraId="5845D407" w14:textId="55AD5550" w:rsidR="00D657A2" w:rsidRDefault="00D657A2" w:rsidP="00EF27EC">
      <w:pPr>
        <w:rPr>
          <w:rFonts w:ascii="Verdana"/>
        </w:rPr>
      </w:pPr>
    </w:p>
    <w:p w14:paraId="75AEC815" w14:textId="5211B6A6" w:rsidR="00D657A2" w:rsidRDefault="00D657A2" w:rsidP="00EF27EC">
      <w:pPr>
        <w:rPr>
          <w:rFonts w:ascii="Verdana"/>
        </w:rPr>
      </w:pPr>
    </w:p>
    <w:p w14:paraId="0C98EEED" w14:textId="4B2499F7" w:rsidR="00D657A2" w:rsidRDefault="00D657A2" w:rsidP="00EF27EC">
      <w:pPr>
        <w:rPr>
          <w:rFonts w:ascii="Verdana"/>
        </w:rPr>
      </w:pPr>
    </w:p>
    <w:p w14:paraId="56336814" w14:textId="175FF557" w:rsidR="00D657A2" w:rsidRDefault="00D657A2" w:rsidP="00EF27EC">
      <w:pPr>
        <w:rPr>
          <w:rFonts w:ascii="Verdana"/>
        </w:rPr>
      </w:pPr>
    </w:p>
    <w:p w14:paraId="5753BD42" w14:textId="7A57E7C7" w:rsidR="00D657A2" w:rsidRDefault="00D657A2" w:rsidP="00EF27EC">
      <w:pPr>
        <w:rPr>
          <w:rFonts w:ascii="Verdana"/>
        </w:rPr>
      </w:pPr>
    </w:p>
    <w:p w14:paraId="1963AFC9" w14:textId="094AD1FA" w:rsidR="00D657A2" w:rsidRDefault="00D657A2" w:rsidP="00EF27EC">
      <w:pPr>
        <w:rPr>
          <w:rFonts w:ascii="Verdana"/>
        </w:rPr>
      </w:pPr>
    </w:p>
    <w:p w14:paraId="166627EF" w14:textId="28309D1A" w:rsidR="00D657A2" w:rsidRDefault="00D657A2" w:rsidP="00EF27EC">
      <w:pPr>
        <w:rPr>
          <w:rFonts w:ascii="Verdana"/>
        </w:rPr>
      </w:pPr>
    </w:p>
    <w:p w14:paraId="6C07ABA9" w14:textId="1B187FA6" w:rsidR="00D657A2" w:rsidRDefault="00D657A2" w:rsidP="00EF27EC">
      <w:pPr>
        <w:rPr>
          <w:rFonts w:ascii="Verdana"/>
        </w:rPr>
      </w:pPr>
    </w:p>
    <w:p w14:paraId="15E5B236" w14:textId="781EF122" w:rsidR="00D657A2" w:rsidRDefault="00D657A2" w:rsidP="00EF27EC">
      <w:pPr>
        <w:rPr>
          <w:rFonts w:ascii="Verdana"/>
        </w:rPr>
      </w:pPr>
    </w:p>
    <w:p w14:paraId="5615AE78" w14:textId="6F008348" w:rsidR="00D657A2" w:rsidRPr="0060405B" w:rsidRDefault="00D657A2" w:rsidP="00EF27EC">
      <w:pPr>
        <w:rPr>
          <w:rFonts w:ascii="Verdana"/>
          <w:sz w:val="17"/>
          <w:szCs w:val="17"/>
        </w:rPr>
      </w:pPr>
      <w:bookmarkStart w:id="17" w:name="_Hlk95378374"/>
    </w:p>
    <w:p w14:paraId="0C637E64" w14:textId="6330FCF3" w:rsidR="00D657A2" w:rsidRPr="0060405B" w:rsidRDefault="00D657A2" w:rsidP="00EF27EC">
      <w:pPr>
        <w:rPr>
          <w:rFonts w:ascii="Verdana"/>
          <w:sz w:val="17"/>
          <w:szCs w:val="17"/>
        </w:rPr>
      </w:pPr>
      <w:r w:rsidRPr="0060405B">
        <w:rPr>
          <w:rStyle w:val="FootnoteReference"/>
          <w:sz w:val="17"/>
          <w:szCs w:val="17"/>
          <w:vertAlign w:val="baseline"/>
        </w:rPr>
        <w:t>*</w:t>
      </w:r>
      <w:r w:rsidRPr="0060405B">
        <w:rPr>
          <w:rStyle w:val="FootnoteReference"/>
          <w:sz w:val="17"/>
          <w:szCs w:val="17"/>
          <w:vertAlign w:val="baseline"/>
        </w:rPr>
        <w:tab/>
      </w:r>
      <w:r w:rsidRPr="0060405B">
        <w:rPr>
          <w:sz w:val="17"/>
          <w:szCs w:val="17"/>
        </w:rPr>
        <w:t>Age- and sex-standardised to 2001 M</w:t>
      </w:r>
      <w:r w:rsidR="0060405B" w:rsidRPr="0060405B">
        <w:rPr>
          <w:sz w:val="17"/>
          <w:szCs w:val="17"/>
        </w:rPr>
        <w:t>āori census population</w:t>
      </w:r>
      <w:bookmarkEnd w:id="17"/>
      <w:r w:rsidR="0060405B">
        <w:rPr>
          <w:sz w:val="17"/>
          <w:szCs w:val="17"/>
        </w:rPr>
        <w:t>.</w:t>
      </w:r>
      <w:r w:rsidRPr="0060405B">
        <w:rPr>
          <w:rFonts w:ascii="Verdana"/>
          <w:sz w:val="17"/>
          <w:szCs w:val="17"/>
        </w:rPr>
        <w:tab/>
      </w:r>
    </w:p>
    <w:p w14:paraId="1A2F84F7" w14:textId="77777777" w:rsidR="00EF27EC" w:rsidRPr="00C000B2" w:rsidRDefault="00EF27EC" w:rsidP="000E650D">
      <w:pPr>
        <w:pStyle w:val="Heading2"/>
      </w:pPr>
      <w:bookmarkStart w:id="18" w:name="_Toc95742641"/>
      <w:r w:rsidRPr="00C000B2">
        <w:lastRenderedPageBreak/>
        <w:t>The size of the opportunity for cancer prevention</w:t>
      </w:r>
      <w:bookmarkEnd w:id="18"/>
    </w:p>
    <w:p w14:paraId="2C0CB3C0" w14:textId="77777777" w:rsidR="00EF27EC" w:rsidRPr="00C000B2" w:rsidRDefault="00EF27EC" w:rsidP="008E098D">
      <w:pPr>
        <w:keepNext/>
        <w:keepLines/>
      </w:pPr>
      <w:r w:rsidRPr="00C000B2">
        <w:t xml:space="preserve">One way of describing the impact of cancer (or other conditions) across a population is in terms of health loss. The idea of health loss captures both the quantity and quality of life lost because of </w:t>
      </w:r>
      <w:proofErr w:type="gramStart"/>
      <w:r w:rsidRPr="00C000B2">
        <w:t>cancer, and</w:t>
      </w:r>
      <w:proofErr w:type="gramEnd"/>
      <w:r w:rsidRPr="00C000B2">
        <w:t xml:space="preserve"> is measured in disability-adjusted life years or DALYs. One DALY is one year of life in full health that a person has lost. In 2019, the people of Aotearoa lost the equivalent of over</w:t>
      </w:r>
      <w:r w:rsidR="000E650D">
        <w:t xml:space="preserve"> </w:t>
      </w:r>
      <w:r w:rsidRPr="00C000B2">
        <w:t>220,000 years of life in full health due to cancer, making it the leading cause of health loss. Yet if all modifiable cancer risk factors had been addressed, about 40 percent of that health loss could have been prevented. This would mean that together the people of Aotearoa would have over 90,000 more years of life in full health and out of the approximately 10,600 New Zealanders estimated to die each year from cancer, almost 4,400 fewer people would die.</w:t>
      </w:r>
      <w:r w:rsidRPr="00686A31">
        <w:rPr>
          <w:vertAlign w:val="superscript"/>
        </w:rPr>
        <w:t>20</w:t>
      </w:r>
    </w:p>
    <w:p w14:paraId="7E58932E" w14:textId="77777777" w:rsidR="00EF27EC" w:rsidRPr="00C000B2" w:rsidRDefault="00EF27EC" w:rsidP="008E098D"/>
    <w:p w14:paraId="27134206" w14:textId="77777777" w:rsidR="00EF27EC" w:rsidRPr="00C000B2" w:rsidRDefault="00EF27EC" w:rsidP="008E098D">
      <w:r w:rsidRPr="00C000B2">
        <w:t>For example, by addressing modifiable risk factors, we could prevent:</w:t>
      </w:r>
    </w:p>
    <w:p w14:paraId="28D8B2D4" w14:textId="77777777" w:rsidR="00EF27EC" w:rsidRPr="00C000B2" w:rsidRDefault="00EF27EC" w:rsidP="008E098D">
      <w:pPr>
        <w:pStyle w:val="Bullet"/>
      </w:pPr>
      <w:r w:rsidRPr="00C000B2">
        <w:t>around 75 percent of the health loss from lung cancer, mainly by reducing smoking</w:t>
      </w:r>
    </w:p>
    <w:p w14:paraId="1C512FE8" w14:textId="77777777" w:rsidR="00EF27EC" w:rsidRPr="00C000B2" w:rsidRDefault="00EF27EC" w:rsidP="008E098D">
      <w:pPr>
        <w:pStyle w:val="Bullet"/>
      </w:pPr>
      <w:r w:rsidRPr="00C000B2">
        <w:t>50 percent of the health loss from uterine cancer by reducing high body mass index (BMI)</w:t>
      </w:r>
    </w:p>
    <w:p w14:paraId="71A7964B" w14:textId="77777777" w:rsidR="00EF27EC" w:rsidRPr="00C000B2" w:rsidRDefault="00EF27EC" w:rsidP="008E098D">
      <w:pPr>
        <w:pStyle w:val="Bullet"/>
        <w:rPr>
          <w:rFonts w:ascii="Calibri" w:hAnsi="Calibri"/>
        </w:rPr>
      </w:pPr>
      <w:r w:rsidRPr="00C000B2">
        <w:t>65 percent of the health loss from bowel cancer by reducing dietary risks, alcohol use, high BMI, smoking and physical inactivity.</w:t>
      </w:r>
      <w:r w:rsidRPr="00686A31">
        <w:rPr>
          <w:vertAlign w:val="superscript"/>
        </w:rPr>
        <w:t>21</w:t>
      </w:r>
    </w:p>
    <w:p w14:paraId="453DB23B" w14:textId="77777777" w:rsidR="00EF27EC" w:rsidRPr="00C000B2" w:rsidRDefault="00EF27EC" w:rsidP="008E098D"/>
    <w:p w14:paraId="6AEB6C5B" w14:textId="77777777" w:rsidR="00EF27EC" w:rsidRPr="00C000B2" w:rsidRDefault="00EF27EC" w:rsidP="008E098D">
      <w:r w:rsidRPr="00C000B2">
        <w:t xml:space="preserve">These percentages show the sizeable opportunity we have to add years to life and health to years lived for the people of Aotearoa, and to reduce existing inequities in both measures. Many initiatives to prevent cancer and reduce inequities are underway and working well. Aotearoa has taken and continues to take significant strides towards becoming truly and equitably </w:t>
      </w:r>
      <w:proofErr w:type="spellStart"/>
      <w:r w:rsidRPr="00C000B2">
        <w:t>smokefree</w:t>
      </w:r>
      <w:proofErr w:type="spellEnd"/>
      <w:r w:rsidRPr="00C000B2">
        <w:t>. While recognising these and other significant and successful achievements, this report illustrates the gap between where we are now in cancer prevention and where we could be.</w:t>
      </w:r>
    </w:p>
    <w:p w14:paraId="64A8C09D" w14:textId="77777777" w:rsidR="00EF27EC" w:rsidRPr="00C000B2" w:rsidRDefault="00EF27EC" w:rsidP="008E098D"/>
    <w:p w14:paraId="38F2340E" w14:textId="77777777" w:rsidR="00EF27EC" w:rsidRPr="00C000B2" w:rsidRDefault="00EF27EC" w:rsidP="008E098D">
      <w:pPr>
        <w:pStyle w:val="Heading2"/>
      </w:pPr>
      <w:bookmarkStart w:id="19" w:name="Environments_strongly_influence_a_person"/>
      <w:bookmarkStart w:id="20" w:name="Not_all_environments_are_created_equal__"/>
      <w:bookmarkStart w:id="21" w:name="Figure_3:_Influences_on_a_person’s_healt"/>
      <w:bookmarkStart w:id="22" w:name="_bookmark5"/>
      <w:bookmarkStart w:id="23" w:name="_Toc95742642"/>
      <w:bookmarkEnd w:id="19"/>
      <w:bookmarkEnd w:id="20"/>
      <w:bookmarkEnd w:id="21"/>
      <w:bookmarkEnd w:id="22"/>
      <w:r w:rsidRPr="00C000B2">
        <w:lastRenderedPageBreak/>
        <w:t>Environments strongly influence a person’s risk of cancer</w:t>
      </w:r>
      <w:bookmarkEnd w:id="23"/>
    </w:p>
    <w:p w14:paraId="3EC3E1F1" w14:textId="77777777" w:rsidR="00EF27EC" w:rsidRPr="00C000B2" w:rsidRDefault="00EF27EC" w:rsidP="00D33D6B">
      <w:pPr>
        <w:keepNext/>
      </w:pPr>
      <w:r w:rsidRPr="00C000B2">
        <w:t>Environmental factors play a big role in shaping health outcomes generally</w:t>
      </w:r>
      <w:r w:rsidRPr="00686A31">
        <w:rPr>
          <w:vertAlign w:val="superscript"/>
        </w:rPr>
        <w:t>22,</w:t>
      </w:r>
      <w:r w:rsidR="00686A31">
        <w:rPr>
          <w:vertAlign w:val="superscript"/>
        </w:rPr>
        <w:t xml:space="preserve"> </w:t>
      </w:r>
      <w:r w:rsidRPr="00686A31">
        <w:rPr>
          <w:vertAlign w:val="superscript"/>
        </w:rPr>
        <w:t>23</w:t>
      </w:r>
      <w:r w:rsidRPr="00C000B2">
        <w:t xml:space="preserve"> and cancer outcomes specifically.</w:t>
      </w:r>
      <w:r w:rsidRPr="00686A31">
        <w:rPr>
          <w:vertAlign w:val="superscript"/>
        </w:rPr>
        <w:t>15,</w:t>
      </w:r>
      <w:r w:rsidR="00686A31">
        <w:rPr>
          <w:vertAlign w:val="superscript"/>
        </w:rPr>
        <w:t xml:space="preserve"> </w:t>
      </w:r>
      <w:r w:rsidRPr="00686A31">
        <w:rPr>
          <w:vertAlign w:val="superscript"/>
        </w:rPr>
        <w:t>19,</w:t>
      </w:r>
      <w:r w:rsidR="00686A31">
        <w:rPr>
          <w:vertAlign w:val="superscript"/>
        </w:rPr>
        <w:t xml:space="preserve"> </w:t>
      </w:r>
      <w:r w:rsidRPr="00686A31">
        <w:rPr>
          <w:vertAlign w:val="superscript"/>
        </w:rPr>
        <w:t>24</w:t>
      </w:r>
      <w:r w:rsidRPr="00C000B2">
        <w:t xml:space="preserve"> Social, </w:t>
      </w:r>
      <w:proofErr w:type="gramStart"/>
      <w:r w:rsidRPr="00C000B2">
        <w:t>political</w:t>
      </w:r>
      <w:proofErr w:type="gramEnd"/>
      <w:r w:rsidRPr="00C000B2">
        <w:t xml:space="preserve"> and economic factors (which sit outside of the health system) are especially influential – including the role of colonisation and racism in creating and perpetuating inequities.</w:t>
      </w:r>
      <w:r w:rsidR="00686A31">
        <w:rPr>
          <w:vertAlign w:val="superscript"/>
        </w:rPr>
        <w:t>25–</w:t>
      </w:r>
      <w:r w:rsidRPr="00686A31">
        <w:rPr>
          <w:vertAlign w:val="superscript"/>
        </w:rPr>
        <w:t>27</w:t>
      </w:r>
      <w:r w:rsidRPr="00C000B2">
        <w:t xml:space="preserve"> When looking at behaviours such as smoking, alcohol use and poor nutrition, it is important to consider the major role of environmental factors.</w:t>
      </w:r>
    </w:p>
    <w:p w14:paraId="7BBFA0C1" w14:textId="77777777" w:rsidR="00EF27EC" w:rsidRPr="00C000B2" w:rsidRDefault="00EF27EC" w:rsidP="00D33D6B">
      <w:pPr>
        <w:keepNext/>
      </w:pPr>
    </w:p>
    <w:p w14:paraId="018713E3" w14:textId="77777777" w:rsidR="00EF27EC" w:rsidRPr="00C000B2" w:rsidRDefault="00EF27EC" w:rsidP="008E098D">
      <w:pPr>
        <w:keepNext/>
        <w:keepLines/>
      </w:pPr>
      <w:r w:rsidRPr="00C000B2">
        <w:t xml:space="preserve">Although we have some degree of control over living our lives in a way that reduces the risk of cancer, the environments we live in </w:t>
      </w:r>
      <w:r w:rsidRPr="00C000B2">
        <w:rPr>
          <w:b/>
        </w:rPr>
        <w:t>heavily</w:t>
      </w:r>
      <w:r w:rsidRPr="008E098D">
        <w:t xml:space="preserve"> </w:t>
      </w:r>
      <w:r w:rsidRPr="00C000B2">
        <w:t>shape our actions and decisions (</w:t>
      </w:r>
      <w:r w:rsidR="008E098D">
        <w:fldChar w:fldCharType="begin"/>
      </w:r>
      <w:r w:rsidR="008E098D">
        <w:instrText xml:space="preserve"> REF _Ref94777456 \h </w:instrText>
      </w:r>
      <w:r w:rsidR="008E098D">
        <w:fldChar w:fldCharType="separate"/>
      </w:r>
      <w:r w:rsidR="006E6019">
        <w:t>Figure </w:t>
      </w:r>
      <w:r w:rsidR="006E6019">
        <w:rPr>
          <w:noProof/>
        </w:rPr>
        <w:t>3</w:t>
      </w:r>
      <w:r w:rsidR="008E098D">
        <w:fldChar w:fldCharType="end"/>
      </w:r>
      <w:r w:rsidRPr="00C000B2">
        <w:t>). For example, what a person eats does not just depend on what they choose to eat. It also depends on what healthy or unhealthy food options are close by, how much fruit and vegetables cost relative to convenience foods and how those foods are advertised. Providing a nutritious home-cooked meal is not just a matter of will or skill. It requires the income to afford healthy ingredients, time to</w:t>
      </w:r>
      <w:r w:rsidR="008E098D">
        <w:t xml:space="preserve"> </w:t>
      </w:r>
      <w:r w:rsidRPr="00C000B2">
        <w:t>cook and space to cook. Clearly what a person eats is shaped by factors far beyond their control: everything from which foods are taxed or subsidised and how the food industry behaves, through to income, employment, education, working conditions and living conditions.</w:t>
      </w:r>
    </w:p>
    <w:p w14:paraId="3612A409" w14:textId="77777777" w:rsidR="00EF27EC" w:rsidRPr="00C000B2" w:rsidRDefault="00EF27EC" w:rsidP="008E098D"/>
    <w:p w14:paraId="042BCC6F" w14:textId="77777777" w:rsidR="00EF27EC" w:rsidRDefault="00EF27EC" w:rsidP="008E098D">
      <w:r w:rsidRPr="00C000B2">
        <w:t>This report focuses mainly on how to improve environments in which people live, work, learn and play so that those environments can help to prevent cancer (and other conditions) for everyone. This report is less about what each individual can do to reduce their personal risk of cancer, recognising that building healthier environments can empower individuals and communities to determine their own futures.</w:t>
      </w:r>
    </w:p>
    <w:p w14:paraId="1F4E7121" w14:textId="77777777" w:rsidR="008E098D" w:rsidRPr="00C000B2" w:rsidRDefault="008E098D" w:rsidP="008E098D"/>
    <w:p w14:paraId="1F56B850" w14:textId="77777777" w:rsidR="00EF27EC" w:rsidRPr="00686A31" w:rsidRDefault="000E650D" w:rsidP="0006563B">
      <w:pPr>
        <w:pStyle w:val="Figure"/>
      </w:pPr>
      <w:bookmarkStart w:id="24" w:name="_Ref94777456"/>
      <w:bookmarkStart w:id="25" w:name="_Toc95059124"/>
      <w:r>
        <w:t>Figure </w:t>
      </w:r>
      <w:r w:rsidR="00F50B6E">
        <w:fldChar w:fldCharType="begin"/>
      </w:r>
      <w:r w:rsidR="00F50B6E">
        <w:instrText xml:space="preserve"> SEQ Figure \* ARABIC </w:instrText>
      </w:r>
      <w:r w:rsidR="00F50B6E">
        <w:fldChar w:fldCharType="separate"/>
      </w:r>
      <w:r w:rsidR="006E6019">
        <w:rPr>
          <w:noProof/>
        </w:rPr>
        <w:t>3</w:t>
      </w:r>
      <w:r w:rsidR="00F50B6E">
        <w:rPr>
          <w:noProof/>
        </w:rPr>
        <w:fldChar w:fldCharType="end"/>
      </w:r>
      <w:bookmarkEnd w:id="24"/>
      <w:r w:rsidR="00EF27EC" w:rsidRPr="00686A31">
        <w:t>: Influences on a person’s health</w:t>
      </w:r>
      <w:r w:rsidR="00EF27EC" w:rsidRPr="00686A31">
        <w:rPr>
          <w:b w:val="0"/>
          <w:vertAlign w:val="superscript"/>
        </w:rPr>
        <w:t>28</w:t>
      </w:r>
      <w:bookmarkEnd w:id="25"/>
    </w:p>
    <w:p w14:paraId="5CE986D0" w14:textId="77777777" w:rsidR="0006563B" w:rsidRDefault="0006563B" w:rsidP="0006563B">
      <w:r>
        <w:rPr>
          <w:noProof/>
          <w:lang w:eastAsia="en-NZ"/>
        </w:rPr>
        <w:drawing>
          <wp:inline distT="0" distB="0" distL="0" distR="0" wp14:anchorId="2E2C6219" wp14:editId="77BC2535">
            <wp:extent cx="5130165" cy="2596872"/>
            <wp:effectExtent l="0" t="0" r="0" b="0"/>
            <wp:docPr id="1964" name="Picture 1964" title="Figure 3: Influences on a person’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30165" cy="2596872"/>
                    </a:xfrm>
                    <a:prstGeom prst="rect">
                      <a:avLst/>
                    </a:prstGeom>
                  </pic:spPr>
                </pic:pic>
              </a:graphicData>
            </a:graphic>
          </wp:inline>
        </w:drawing>
      </w:r>
    </w:p>
    <w:p w14:paraId="05E5CAC8" w14:textId="77777777" w:rsidR="0006563B" w:rsidRPr="0006563B" w:rsidRDefault="0006563B" w:rsidP="0006563B"/>
    <w:p w14:paraId="5BA11FBD" w14:textId="77777777" w:rsidR="00EF27EC" w:rsidRPr="00C000B2" w:rsidRDefault="00EF27EC" w:rsidP="0006563B">
      <w:pPr>
        <w:pStyle w:val="Heading2"/>
      </w:pPr>
      <w:bookmarkStart w:id="26" w:name="_Toc95742643"/>
      <w:r w:rsidRPr="00C000B2">
        <w:lastRenderedPageBreak/>
        <w:t>Not all environments are created equal</w:t>
      </w:r>
      <w:bookmarkEnd w:id="26"/>
    </w:p>
    <w:p w14:paraId="4F4B81A2" w14:textId="77777777" w:rsidR="00EF27EC" w:rsidRPr="00C000B2" w:rsidRDefault="00EF27EC" w:rsidP="000A0B2F">
      <w:pPr>
        <w:keepNext/>
      </w:pPr>
      <w:r w:rsidRPr="00C000B2">
        <w:t xml:space="preserve">Not all environments are created equal. This is important – it means some groups and communities have higher exposure to cancer risk factors through no action of their own. For example, there are </w:t>
      </w:r>
      <w:proofErr w:type="gramStart"/>
      <w:r w:rsidRPr="00C000B2">
        <w:t>more fast</w:t>
      </w:r>
      <w:proofErr w:type="gramEnd"/>
      <w:r w:rsidRPr="00C000B2">
        <w:t xml:space="preserve"> food</w:t>
      </w:r>
      <w:r w:rsidRPr="00686A31">
        <w:rPr>
          <w:vertAlign w:val="superscript"/>
        </w:rPr>
        <w:t>29</w:t>
      </w:r>
      <w:r w:rsidRPr="00C000B2">
        <w:t xml:space="preserve"> and alcohol outlets</w:t>
      </w:r>
      <w:r w:rsidRPr="00686A31">
        <w:rPr>
          <w:vertAlign w:val="superscript"/>
        </w:rPr>
        <w:t>30</w:t>
      </w:r>
      <w:r w:rsidRPr="00C000B2">
        <w:t xml:space="preserve"> in socioeconomically deprived areas, where more whānau</w:t>
      </w:r>
      <w:r w:rsidR="000A0B2F">
        <w:t xml:space="preserve"> </w:t>
      </w:r>
      <w:bookmarkStart w:id="27" w:name="Te_Tiriti_o_Waitangi_responsibilities_an"/>
      <w:bookmarkStart w:id="28" w:name="Prevention_is_the_ideal_in_cancer_contro"/>
      <w:bookmarkStart w:id="29" w:name="_bookmark6"/>
      <w:bookmarkEnd w:id="27"/>
      <w:bookmarkEnd w:id="28"/>
      <w:bookmarkEnd w:id="29"/>
      <w:r w:rsidRPr="00C000B2">
        <w:t>Māori and Pacific families live. Supermarkets in low-income areas stock a higher ratio of unhealthy to healthy foods compared with high-income areas.</w:t>
      </w:r>
      <w:r w:rsidRPr="00686A31">
        <w:rPr>
          <w:vertAlign w:val="superscript"/>
        </w:rPr>
        <w:t>31</w:t>
      </w:r>
      <w:r w:rsidRPr="00C000B2">
        <w:t xml:space="preserve"> Māori also have poorer access to public transport than other ethnic groups, which means they have less opportunity to be physically active in a regular day.</w:t>
      </w:r>
      <w:r w:rsidRPr="00686A31">
        <w:rPr>
          <w:vertAlign w:val="superscript"/>
        </w:rPr>
        <w:t>32</w:t>
      </w:r>
      <w:r w:rsidRPr="00C000B2">
        <w:t xml:space="preserve"> These differences in environment have real downstream consequences; for example, Māori and Pacific peoples have a higher proportion of obesity-related cancers.</w:t>
      </w:r>
      <w:r w:rsidRPr="00686A31">
        <w:rPr>
          <w:vertAlign w:val="superscript"/>
        </w:rPr>
        <w:t>33,</w:t>
      </w:r>
      <w:r w:rsidR="00686A31">
        <w:rPr>
          <w:vertAlign w:val="superscript"/>
        </w:rPr>
        <w:t xml:space="preserve"> </w:t>
      </w:r>
      <w:r w:rsidRPr="00686A31">
        <w:rPr>
          <w:vertAlign w:val="superscript"/>
        </w:rPr>
        <w:t>34</w:t>
      </w:r>
    </w:p>
    <w:p w14:paraId="1EB8F3E1" w14:textId="77777777" w:rsidR="00EF27EC" w:rsidRPr="00C000B2" w:rsidRDefault="00EF27EC" w:rsidP="0006563B"/>
    <w:p w14:paraId="3870B1EA" w14:textId="77777777" w:rsidR="00EF27EC" w:rsidRPr="00C000B2" w:rsidRDefault="00EF27EC" w:rsidP="0006563B">
      <w:r w:rsidRPr="00C000B2">
        <w:t xml:space="preserve">Māori and Pacific peoples are more exposed to cancer risk factors due to social, </w:t>
      </w:r>
      <w:proofErr w:type="gramStart"/>
      <w:r w:rsidRPr="00C000B2">
        <w:t>political</w:t>
      </w:r>
      <w:proofErr w:type="gramEnd"/>
      <w:r w:rsidRPr="00C000B2">
        <w:t xml:space="preserve"> and economic influences, including colonisation and racism. These influences also drive poorer access to and through the health system, contributing to unjust inequities in health outcomes.</w:t>
      </w:r>
      <w:r w:rsidRPr="00686A31">
        <w:rPr>
          <w:vertAlign w:val="superscript"/>
        </w:rPr>
        <w:t>25</w:t>
      </w:r>
      <w:r w:rsidR="00686A31">
        <w:rPr>
          <w:vertAlign w:val="superscript"/>
        </w:rPr>
        <w:t>–</w:t>
      </w:r>
      <w:r w:rsidRPr="00686A31">
        <w:rPr>
          <w:vertAlign w:val="superscript"/>
        </w:rPr>
        <w:t>27</w:t>
      </w:r>
    </w:p>
    <w:p w14:paraId="56663A2B" w14:textId="77777777" w:rsidR="00EF27EC" w:rsidRPr="00C000B2" w:rsidRDefault="00EF27EC" w:rsidP="0006563B"/>
    <w:p w14:paraId="2AD26D7F" w14:textId="77777777" w:rsidR="00EF27EC" w:rsidRPr="00C000B2" w:rsidRDefault="00EF27EC" w:rsidP="0006563B">
      <w:r w:rsidRPr="00C000B2">
        <w:t>Making healthy choices is infinitely harder, and unfairly so, for some groups and communities. Where this report identifies known and avoidable differences in people’s exposure to cancer risk factors (particularly by ethnicity or socioeconomic deprivation), it uses a vertical apricot line</w:t>
      </w:r>
      <w:r w:rsidR="0006563B">
        <w:rPr>
          <w:noProof/>
          <w:lang w:eastAsia="en-NZ"/>
        </w:rPr>
        <w:t xml:space="preserve"> </w:t>
      </w:r>
      <w:r w:rsidR="0006563B" w:rsidRPr="000A0B2F">
        <w:rPr>
          <w:noProof/>
          <w:position w:val="-3"/>
          <w:lang w:eastAsia="en-NZ"/>
        </w:rPr>
        <w:drawing>
          <wp:inline distT="0" distB="0" distL="0" distR="0" wp14:anchorId="07EC5114" wp14:editId="7DDDCEA4">
            <wp:extent cx="104775" cy="126999"/>
            <wp:effectExtent l="0" t="0" r="0" b="6985"/>
            <wp:docPr id="1966" name="Picture 1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Picture 1966">
                      <a:extLst>
                        <a:ext uri="{C183D7F6-B498-43B3-948B-1728B52AA6E4}">
                          <adec:decorative xmlns:adec="http://schemas.microsoft.com/office/drawing/2017/decorative" val="1"/>
                        </a:ext>
                      </a:extLst>
                    </pic:cNvPr>
                    <pic:cNvPicPr/>
                  </pic:nvPicPr>
                  <pic:blipFill rotWithShape="1">
                    <a:blip r:embed="rId29"/>
                    <a:srcRect l="13334" t="40556" r="13330" b="14999"/>
                    <a:stretch/>
                  </pic:blipFill>
                  <pic:spPr bwMode="auto">
                    <a:xfrm>
                      <a:off x="0" y="0"/>
                      <a:ext cx="104776" cy="127000"/>
                    </a:xfrm>
                    <a:prstGeom prst="rect">
                      <a:avLst/>
                    </a:prstGeom>
                    <a:ln>
                      <a:noFill/>
                    </a:ln>
                    <a:extLst>
                      <a:ext uri="{53640926-AAD7-44D8-BBD7-CCE9431645EC}">
                        <a14:shadowObscured xmlns:a14="http://schemas.microsoft.com/office/drawing/2010/main"/>
                      </a:ext>
                    </a:extLst>
                  </pic:spPr>
                </pic:pic>
              </a:graphicData>
            </a:graphic>
          </wp:inline>
        </w:drawing>
      </w:r>
      <w:r w:rsidRPr="00C000B2">
        <w:t>.</w:t>
      </w:r>
    </w:p>
    <w:p w14:paraId="65BF6DDC" w14:textId="77777777" w:rsidR="00EF27EC" w:rsidRPr="00C000B2" w:rsidRDefault="00EF27EC" w:rsidP="000A0B2F"/>
    <w:p w14:paraId="7BE6911F" w14:textId="77777777" w:rsidR="00EF27EC" w:rsidRPr="00C000B2" w:rsidRDefault="00EF27EC" w:rsidP="000A0B2F">
      <w:pPr>
        <w:pStyle w:val="Heading2"/>
      </w:pPr>
      <w:bookmarkStart w:id="30" w:name="_Toc95742644"/>
      <w:r w:rsidRPr="00C000B2">
        <w:t xml:space="preserve">Te </w:t>
      </w:r>
      <w:proofErr w:type="spellStart"/>
      <w:r w:rsidRPr="00C000B2">
        <w:t>Tiriti</w:t>
      </w:r>
      <w:proofErr w:type="spellEnd"/>
      <w:r w:rsidRPr="00C000B2">
        <w:t xml:space="preserve"> o Waitangi responsibilities and preventing cancer</w:t>
      </w:r>
      <w:bookmarkEnd w:id="30"/>
    </w:p>
    <w:p w14:paraId="575A4A4C" w14:textId="77777777" w:rsidR="00EF27EC" w:rsidRPr="00C000B2" w:rsidRDefault="00EF27EC" w:rsidP="000A0B2F">
      <w:r w:rsidRPr="00C000B2">
        <w:t xml:space="preserve">The principles of Te </w:t>
      </w:r>
      <w:proofErr w:type="spellStart"/>
      <w:r w:rsidRPr="00C000B2">
        <w:t>Tiriti</w:t>
      </w:r>
      <w:proofErr w:type="spellEnd"/>
      <w:r w:rsidRPr="00C000B2">
        <w:t xml:space="preserve"> provide the foundation for stronger action on preventing cancer in Aotearoa and reducing inequitable cancer outcomes.</w:t>
      </w:r>
    </w:p>
    <w:p w14:paraId="3DE11F26" w14:textId="77777777" w:rsidR="00EF27EC" w:rsidRPr="00C000B2" w:rsidRDefault="00EF27EC" w:rsidP="000A0B2F"/>
    <w:p w14:paraId="0074D0F8" w14:textId="77777777" w:rsidR="00EF27EC" w:rsidRPr="00C000B2" w:rsidRDefault="00EF27EC" w:rsidP="000A0B2F">
      <w:r w:rsidRPr="00C000B2">
        <w:t xml:space="preserve">The principle of </w:t>
      </w:r>
      <w:proofErr w:type="spellStart"/>
      <w:r w:rsidRPr="00C000B2">
        <w:rPr>
          <w:b/>
        </w:rPr>
        <w:t>tino</w:t>
      </w:r>
      <w:proofErr w:type="spellEnd"/>
      <w:r w:rsidRPr="00C000B2">
        <w:rPr>
          <w:b/>
        </w:rPr>
        <w:t xml:space="preserve"> rangatiratanga </w:t>
      </w:r>
      <w:r w:rsidRPr="00C000B2">
        <w:t xml:space="preserve">is the realisation of Māori self-determination and Māori aspirations. We can support </w:t>
      </w:r>
      <w:proofErr w:type="spellStart"/>
      <w:r w:rsidRPr="00C000B2">
        <w:t>tino</w:t>
      </w:r>
      <w:proofErr w:type="spellEnd"/>
      <w:r w:rsidRPr="00C000B2">
        <w:t xml:space="preserve"> rangatiratanga by deconstructing racist systems and structures and increasing environments that encourage </w:t>
      </w:r>
      <w:proofErr w:type="spellStart"/>
      <w:r w:rsidRPr="00C000B2">
        <w:t>hauora</w:t>
      </w:r>
      <w:proofErr w:type="spellEnd"/>
      <w:r w:rsidRPr="00C000B2">
        <w:t xml:space="preserve"> and can remove unjust obstacles.</w:t>
      </w:r>
    </w:p>
    <w:p w14:paraId="1C817D9B" w14:textId="77777777" w:rsidR="00EF27EC" w:rsidRPr="00C000B2" w:rsidRDefault="00EF27EC" w:rsidP="000A0B2F"/>
    <w:p w14:paraId="2EBC700A" w14:textId="77777777" w:rsidR="00EF27EC" w:rsidRPr="00C000B2" w:rsidRDefault="00EF27EC" w:rsidP="000A0B2F">
      <w:r w:rsidRPr="00C000B2">
        <w:t xml:space="preserve">The principle of </w:t>
      </w:r>
      <w:r w:rsidRPr="00C000B2">
        <w:rPr>
          <w:b/>
        </w:rPr>
        <w:t xml:space="preserve">equity </w:t>
      </w:r>
      <w:r w:rsidRPr="00C000B2">
        <w:t>is fundamental to cancer prevention. Inequities in cancer are prominent: Māori are 20 percent more likely to develop cancer than non-Māori and twice as likely to die from cancer. Inequities occur along every step of the cancer continuum; for example, Māori have higher exposure to cancer risk factors, poorer access to the health system and then, once diagnosed, poorer access through it. The cancers that disproportionately affect Māori tend to both be highly preventable and have poorer outcomes.</w:t>
      </w:r>
    </w:p>
    <w:p w14:paraId="0E22EE9D" w14:textId="77777777" w:rsidR="000A0B2F" w:rsidRPr="00C000B2" w:rsidRDefault="000A0B2F" w:rsidP="000A0B2F"/>
    <w:p w14:paraId="6D28B6FD" w14:textId="77777777" w:rsidR="00EF27EC" w:rsidRPr="00C000B2" w:rsidRDefault="00EF27EC" w:rsidP="000A0B2F">
      <w:r w:rsidRPr="00C000B2">
        <w:lastRenderedPageBreak/>
        <w:t xml:space="preserve">The principle of </w:t>
      </w:r>
      <w:r w:rsidRPr="00C000B2">
        <w:rPr>
          <w:b/>
        </w:rPr>
        <w:t xml:space="preserve">active protection </w:t>
      </w:r>
      <w:r w:rsidRPr="00C000B2">
        <w:t xml:space="preserve">requires the Crown to act to the fullest extent practicable to achieve equitable health outcomes for Māori. For this reason, maximum effort at every step of the cancer journey is needed, but the biggest gains in achieving equitable cancer outcomes for Māori will come from stronger cancer prevention. While cancer prevention strategies are a powerful tool for reducing cancer disparities, they need to be led, designed, </w:t>
      </w:r>
      <w:proofErr w:type="gramStart"/>
      <w:r w:rsidRPr="00C000B2">
        <w:t>delivered</w:t>
      </w:r>
      <w:proofErr w:type="gramEnd"/>
      <w:r w:rsidRPr="00C000B2">
        <w:t xml:space="preserve"> and monitored in a way that realises this potential for Māori.</w:t>
      </w:r>
    </w:p>
    <w:p w14:paraId="4E010813" w14:textId="77777777" w:rsidR="00EF27EC" w:rsidRPr="00C000B2" w:rsidRDefault="00EF27EC" w:rsidP="000A0B2F"/>
    <w:p w14:paraId="189FA263" w14:textId="77777777" w:rsidR="00EF27EC" w:rsidRPr="00C000B2" w:rsidRDefault="00EF27EC" w:rsidP="000A0B2F">
      <w:r w:rsidRPr="00C000B2">
        <w:t xml:space="preserve">The principle of Crown and Māori working in </w:t>
      </w:r>
      <w:r w:rsidRPr="00C000B2">
        <w:rPr>
          <w:b/>
        </w:rPr>
        <w:t xml:space="preserve">partnership </w:t>
      </w:r>
      <w:r w:rsidRPr="00C000B2">
        <w:t xml:space="preserve">and the Crown’s obligation to provide culturally appropriate health services according to </w:t>
      </w:r>
      <w:proofErr w:type="spellStart"/>
      <w:r w:rsidRPr="00C000B2">
        <w:t>hauora</w:t>
      </w:r>
      <w:proofErr w:type="spellEnd"/>
      <w:r w:rsidRPr="00C000B2">
        <w:t xml:space="preserve"> Māori models of care (</w:t>
      </w:r>
      <w:r w:rsidRPr="00C000B2">
        <w:rPr>
          <w:b/>
        </w:rPr>
        <w:t>options</w:t>
      </w:r>
      <w:r w:rsidRPr="00C000B2">
        <w:t>) apply to cancer prevention strategies in the same way as any other health service.</w:t>
      </w:r>
    </w:p>
    <w:p w14:paraId="3F256F81" w14:textId="77777777" w:rsidR="00EF27EC" w:rsidRPr="00C000B2" w:rsidRDefault="00EF27EC" w:rsidP="000A0B2F"/>
    <w:p w14:paraId="1A3382E7" w14:textId="77777777" w:rsidR="00EF27EC" w:rsidRPr="00C000B2" w:rsidRDefault="00EF27EC" w:rsidP="000A0B2F">
      <w:pPr>
        <w:pStyle w:val="Heading2"/>
      </w:pPr>
      <w:bookmarkStart w:id="31" w:name="_Toc95742645"/>
      <w:r w:rsidRPr="00C000B2">
        <w:t>Prevention is the ideal in cancer control</w:t>
      </w:r>
      <w:bookmarkEnd w:id="31"/>
    </w:p>
    <w:p w14:paraId="4531A5FE" w14:textId="77777777" w:rsidR="00EF27EC" w:rsidRPr="00C000B2" w:rsidRDefault="00EF27EC" w:rsidP="000A0B2F">
      <w:r w:rsidRPr="00C000B2">
        <w:t>It will always be vital to provide the best care possible for people with cancer and their whānau, across cancer screening, diagnosis, treatment, survivorship, surveillance, palliative care, end-of-life care, and cancer research. At the same time, with up to half of all cancers being preventable, a significant proportion of deaths and suffering due to cancer can be avoided. That is reason enough to maximise cancer prevention efforts in Aotearoa, but there are also other reasons.</w:t>
      </w:r>
    </w:p>
    <w:p w14:paraId="1CB9E574" w14:textId="77777777" w:rsidR="00EF27EC" w:rsidRPr="00C000B2" w:rsidRDefault="00EF27EC" w:rsidP="000A0B2F"/>
    <w:p w14:paraId="22A4675D" w14:textId="77777777" w:rsidR="00EF27EC" w:rsidRPr="00C000B2" w:rsidRDefault="00EF27EC" w:rsidP="000A0B2F">
      <w:bookmarkStart w:id="32" w:name="Table_1:_Percentage_of_health_loss_attri"/>
      <w:bookmarkStart w:id="33" w:name="_bookmark7"/>
      <w:bookmarkEnd w:id="32"/>
      <w:bookmarkEnd w:id="33"/>
      <w:r w:rsidRPr="00C000B2">
        <w:t>This report outlines evidence-based, internationally accepted, best-practice interventions to address six cancer risk factors – tobacco exposure, alcohol use, poor nutrition and excess body weight, physical inactivity, excessive exposure to ultraviolet (UV) radiation and chronic infections – and assesses how well Aotearoa is doing in each of these areas. These interventions are backed up by research and modelling, widely accepted by international and national experts, and shown to be effective when implemented well in other jurisdictions.</w:t>
      </w:r>
    </w:p>
    <w:p w14:paraId="181E148F" w14:textId="77777777" w:rsidR="000A0B2F" w:rsidRDefault="000A0B2F" w:rsidP="000A0B2F"/>
    <w:p w14:paraId="55076726" w14:textId="77777777" w:rsidR="00EF27EC" w:rsidRDefault="00EF27EC" w:rsidP="000A0B2F">
      <w:r w:rsidRPr="00C000B2">
        <w:t>While the focus of this report is on cancer, stronger prevention efforts will bring substantial benefits beyond cancer alone. Most cancer risk factors are not unique to cancer and are shared by other chronic diseases such as diabetes, heart disease and strokes (</w:t>
      </w:r>
      <w:r w:rsidR="000A0B2F">
        <w:fldChar w:fldCharType="begin"/>
      </w:r>
      <w:r w:rsidR="000A0B2F">
        <w:instrText xml:space="preserve"> REF _Ref94778465 \h </w:instrText>
      </w:r>
      <w:r w:rsidR="000A0B2F">
        <w:fldChar w:fldCharType="separate"/>
      </w:r>
      <w:r w:rsidR="006E6019">
        <w:t>Table </w:t>
      </w:r>
      <w:r w:rsidR="006E6019">
        <w:rPr>
          <w:noProof/>
        </w:rPr>
        <w:t>1</w:t>
      </w:r>
      <w:r w:rsidR="000A0B2F">
        <w:fldChar w:fldCharType="end"/>
      </w:r>
      <w:r w:rsidRPr="00C000B2">
        <w:t xml:space="preserve">). The more we do for cancer prevention, the more we do for these other conditions that also cause loss of life, preventable </w:t>
      </w:r>
      <w:proofErr w:type="gramStart"/>
      <w:r w:rsidRPr="00C000B2">
        <w:t>suffering</w:t>
      </w:r>
      <w:proofErr w:type="gramEnd"/>
      <w:r w:rsidRPr="00C000B2">
        <w:t xml:space="preserve"> and significant inequities in Aotearoa.</w:t>
      </w:r>
    </w:p>
    <w:p w14:paraId="180CF54C" w14:textId="77777777" w:rsidR="000A0B2F" w:rsidRPr="00C000B2" w:rsidRDefault="000A0B2F" w:rsidP="000A0B2F"/>
    <w:p w14:paraId="442B2BF1" w14:textId="77777777" w:rsidR="00EF27EC" w:rsidRDefault="000A0B2F" w:rsidP="000A0B2F">
      <w:pPr>
        <w:pStyle w:val="Table"/>
      </w:pPr>
      <w:bookmarkStart w:id="34" w:name="_Ref94778465"/>
      <w:bookmarkStart w:id="35" w:name="_Toc95059083"/>
      <w:r>
        <w:lastRenderedPageBreak/>
        <w:t>Table </w:t>
      </w:r>
      <w:r w:rsidR="00F50B6E">
        <w:fldChar w:fldCharType="begin"/>
      </w:r>
      <w:r w:rsidR="00F50B6E">
        <w:instrText xml:space="preserve"> SEQ Table \* ARABIC </w:instrText>
      </w:r>
      <w:r w:rsidR="00F50B6E">
        <w:fldChar w:fldCharType="separate"/>
      </w:r>
      <w:r w:rsidR="006E6019">
        <w:rPr>
          <w:noProof/>
        </w:rPr>
        <w:t>1</w:t>
      </w:r>
      <w:r w:rsidR="00F50B6E">
        <w:rPr>
          <w:noProof/>
        </w:rPr>
        <w:fldChar w:fldCharType="end"/>
      </w:r>
      <w:bookmarkEnd w:id="34"/>
      <w:r w:rsidR="00EF27EC" w:rsidRPr="00C000B2">
        <w:rPr>
          <w:rFonts w:ascii="Arial"/>
          <w:i/>
          <w:noProof/>
          <w:lang w:eastAsia="en-NZ"/>
        </w:rPr>
        <mc:AlternateContent>
          <mc:Choice Requires="wpg">
            <w:drawing>
              <wp:anchor distT="0" distB="0" distL="114300" distR="114300" simplePos="0" relativeHeight="252019712" behindDoc="1" locked="0" layoutInCell="1" allowOverlap="1" wp14:anchorId="619C24F9" wp14:editId="2E53B484">
                <wp:simplePos x="0" y="0"/>
                <wp:positionH relativeFrom="page">
                  <wp:posOffset>2593340</wp:posOffset>
                </wp:positionH>
                <wp:positionV relativeFrom="paragraph">
                  <wp:posOffset>1109980</wp:posOffset>
                </wp:positionV>
                <wp:extent cx="3496945" cy="12700"/>
                <wp:effectExtent l="2540" t="3810" r="5715" b="2540"/>
                <wp:wrapNone/>
                <wp:docPr id="1732" name="Group 1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945" cy="12700"/>
                          <a:chOff x="4084" y="1748"/>
                          <a:chExt cx="5507" cy="20"/>
                        </a:xfrm>
                      </wpg:grpSpPr>
                      <wps:wsp>
                        <wps:cNvPr id="1733" name="docshape182"/>
                        <wps:cNvSpPr>
                          <a:spLocks/>
                        </wps:cNvSpPr>
                        <wps:spPr bwMode="auto">
                          <a:xfrm>
                            <a:off x="4084" y="1748"/>
                            <a:ext cx="2129" cy="20"/>
                          </a:xfrm>
                          <a:custGeom>
                            <a:avLst/>
                            <a:gdLst>
                              <a:gd name="T0" fmla="+- 0 4104 4084"/>
                              <a:gd name="T1" fmla="*/ T0 w 2129"/>
                              <a:gd name="T2" fmla="+- 0 1758 1748"/>
                              <a:gd name="T3" fmla="*/ 1758 h 20"/>
                              <a:gd name="T4" fmla="+- 0 4102 4084"/>
                              <a:gd name="T5" fmla="*/ T4 w 2129"/>
                              <a:gd name="T6" fmla="+- 0 1751 1748"/>
                              <a:gd name="T7" fmla="*/ 1751 h 20"/>
                              <a:gd name="T8" fmla="+- 0 4094 4084"/>
                              <a:gd name="T9" fmla="*/ T8 w 2129"/>
                              <a:gd name="T10" fmla="+- 0 1748 1748"/>
                              <a:gd name="T11" fmla="*/ 1748 h 20"/>
                              <a:gd name="T12" fmla="+- 0 4087 4084"/>
                              <a:gd name="T13" fmla="*/ T12 w 2129"/>
                              <a:gd name="T14" fmla="+- 0 1751 1748"/>
                              <a:gd name="T15" fmla="*/ 1751 h 20"/>
                              <a:gd name="T16" fmla="+- 0 4084 4084"/>
                              <a:gd name="T17" fmla="*/ T16 w 2129"/>
                              <a:gd name="T18" fmla="+- 0 1758 1748"/>
                              <a:gd name="T19" fmla="*/ 1758 h 20"/>
                              <a:gd name="T20" fmla="+- 0 4087 4084"/>
                              <a:gd name="T21" fmla="*/ T20 w 2129"/>
                              <a:gd name="T22" fmla="+- 0 1766 1748"/>
                              <a:gd name="T23" fmla="*/ 1766 h 20"/>
                              <a:gd name="T24" fmla="+- 0 4094 4084"/>
                              <a:gd name="T25" fmla="*/ T24 w 2129"/>
                              <a:gd name="T26" fmla="+- 0 1768 1748"/>
                              <a:gd name="T27" fmla="*/ 1768 h 20"/>
                              <a:gd name="T28" fmla="+- 0 4102 4084"/>
                              <a:gd name="T29" fmla="*/ T28 w 2129"/>
                              <a:gd name="T30" fmla="+- 0 1766 1748"/>
                              <a:gd name="T31" fmla="*/ 1766 h 20"/>
                              <a:gd name="T32" fmla="+- 0 4104 4084"/>
                              <a:gd name="T33" fmla="*/ T32 w 2129"/>
                              <a:gd name="T34" fmla="+- 0 1758 1748"/>
                              <a:gd name="T35" fmla="*/ 1758 h 20"/>
                              <a:gd name="T36" fmla="+- 0 6213 4084"/>
                              <a:gd name="T37" fmla="*/ T36 w 2129"/>
                              <a:gd name="T38" fmla="+- 0 1758 1748"/>
                              <a:gd name="T39" fmla="*/ 1758 h 20"/>
                              <a:gd name="T40" fmla="+- 0 6211 4084"/>
                              <a:gd name="T41" fmla="*/ T40 w 2129"/>
                              <a:gd name="T42" fmla="+- 0 1751 1748"/>
                              <a:gd name="T43" fmla="*/ 1751 h 20"/>
                              <a:gd name="T44" fmla="+- 0 6203 4084"/>
                              <a:gd name="T45" fmla="*/ T44 w 2129"/>
                              <a:gd name="T46" fmla="+- 0 1748 1748"/>
                              <a:gd name="T47" fmla="*/ 1748 h 20"/>
                              <a:gd name="T48" fmla="+- 0 6196 4084"/>
                              <a:gd name="T49" fmla="*/ T48 w 2129"/>
                              <a:gd name="T50" fmla="+- 0 1751 1748"/>
                              <a:gd name="T51" fmla="*/ 1751 h 20"/>
                              <a:gd name="T52" fmla="+- 0 6193 4084"/>
                              <a:gd name="T53" fmla="*/ T52 w 2129"/>
                              <a:gd name="T54" fmla="+- 0 1758 1748"/>
                              <a:gd name="T55" fmla="*/ 1758 h 20"/>
                              <a:gd name="T56" fmla="+- 0 6196 4084"/>
                              <a:gd name="T57" fmla="*/ T56 w 2129"/>
                              <a:gd name="T58" fmla="+- 0 1766 1748"/>
                              <a:gd name="T59" fmla="*/ 1766 h 20"/>
                              <a:gd name="T60" fmla="+- 0 6203 4084"/>
                              <a:gd name="T61" fmla="*/ T60 w 2129"/>
                              <a:gd name="T62" fmla="+- 0 1768 1748"/>
                              <a:gd name="T63" fmla="*/ 1768 h 20"/>
                              <a:gd name="T64" fmla="+- 0 6211 4084"/>
                              <a:gd name="T65" fmla="*/ T64 w 2129"/>
                              <a:gd name="T66" fmla="+- 0 1766 1748"/>
                              <a:gd name="T67" fmla="*/ 1766 h 20"/>
                              <a:gd name="T68" fmla="+- 0 6213 4084"/>
                              <a:gd name="T69" fmla="*/ T68 w 2129"/>
                              <a:gd name="T70" fmla="+- 0 1758 1748"/>
                              <a:gd name="T71" fmla="*/ 17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29" h="20">
                                <a:moveTo>
                                  <a:pt x="20" y="10"/>
                                </a:moveTo>
                                <a:lnTo>
                                  <a:pt x="18" y="3"/>
                                </a:lnTo>
                                <a:lnTo>
                                  <a:pt x="10" y="0"/>
                                </a:lnTo>
                                <a:lnTo>
                                  <a:pt x="3" y="3"/>
                                </a:lnTo>
                                <a:lnTo>
                                  <a:pt x="0" y="10"/>
                                </a:lnTo>
                                <a:lnTo>
                                  <a:pt x="3" y="18"/>
                                </a:lnTo>
                                <a:lnTo>
                                  <a:pt x="10" y="20"/>
                                </a:lnTo>
                                <a:lnTo>
                                  <a:pt x="18" y="18"/>
                                </a:lnTo>
                                <a:lnTo>
                                  <a:pt x="20" y="10"/>
                                </a:lnTo>
                                <a:close/>
                                <a:moveTo>
                                  <a:pt x="2129" y="10"/>
                                </a:moveTo>
                                <a:lnTo>
                                  <a:pt x="2127" y="3"/>
                                </a:lnTo>
                                <a:lnTo>
                                  <a:pt x="2119" y="0"/>
                                </a:lnTo>
                                <a:lnTo>
                                  <a:pt x="2112" y="3"/>
                                </a:lnTo>
                                <a:lnTo>
                                  <a:pt x="2109" y="10"/>
                                </a:lnTo>
                                <a:lnTo>
                                  <a:pt x="2112" y="18"/>
                                </a:lnTo>
                                <a:lnTo>
                                  <a:pt x="2119" y="20"/>
                                </a:lnTo>
                                <a:lnTo>
                                  <a:pt x="2127" y="18"/>
                                </a:lnTo>
                                <a:lnTo>
                                  <a:pt x="2129" y="10"/>
                                </a:lnTo>
                                <a:close/>
                              </a:path>
                            </a:pathLst>
                          </a:custGeom>
                          <a:solidFill>
                            <a:srgbClr val="F37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Line 1353"/>
                        <wps:cNvCnPr/>
                        <wps:spPr bwMode="auto">
                          <a:xfrm>
                            <a:off x="4155" y="1758"/>
                            <a:ext cx="2018" cy="0"/>
                          </a:xfrm>
                          <a:prstGeom prst="line">
                            <a:avLst/>
                          </a:prstGeom>
                          <a:noFill/>
                          <a:ln w="12700">
                            <a:solidFill>
                              <a:srgbClr val="F37973"/>
                            </a:solidFill>
                            <a:prstDash val="dot"/>
                            <a:round/>
                            <a:headEnd/>
                            <a:tailEnd/>
                          </a:ln>
                          <a:extLst>
                            <a:ext uri="{909E8E84-426E-40DD-AFC4-6F175D3DCCD1}">
                              <a14:hiddenFill xmlns:a14="http://schemas.microsoft.com/office/drawing/2010/main">
                                <a:noFill/>
                              </a14:hiddenFill>
                            </a:ext>
                          </a:extLst>
                        </wps:spPr>
                        <wps:bodyPr/>
                      </wps:wsp>
                      <wps:wsp>
                        <wps:cNvPr id="1735" name="docshape183"/>
                        <wps:cNvSpPr>
                          <a:spLocks/>
                        </wps:cNvSpPr>
                        <wps:spPr bwMode="auto">
                          <a:xfrm>
                            <a:off x="4084" y="1748"/>
                            <a:ext cx="2129" cy="20"/>
                          </a:xfrm>
                          <a:custGeom>
                            <a:avLst/>
                            <a:gdLst>
                              <a:gd name="T0" fmla="+- 0 4104 4084"/>
                              <a:gd name="T1" fmla="*/ T0 w 2129"/>
                              <a:gd name="T2" fmla="+- 0 1758 1748"/>
                              <a:gd name="T3" fmla="*/ 1758 h 20"/>
                              <a:gd name="T4" fmla="+- 0 4102 4084"/>
                              <a:gd name="T5" fmla="*/ T4 w 2129"/>
                              <a:gd name="T6" fmla="+- 0 1751 1748"/>
                              <a:gd name="T7" fmla="*/ 1751 h 20"/>
                              <a:gd name="T8" fmla="+- 0 4094 4084"/>
                              <a:gd name="T9" fmla="*/ T8 w 2129"/>
                              <a:gd name="T10" fmla="+- 0 1748 1748"/>
                              <a:gd name="T11" fmla="*/ 1748 h 20"/>
                              <a:gd name="T12" fmla="+- 0 4087 4084"/>
                              <a:gd name="T13" fmla="*/ T12 w 2129"/>
                              <a:gd name="T14" fmla="+- 0 1751 1748"/>
                              <a:gd name="T15" fmla="*/ 1751 h 20"/>
                              <a:gd name="T16" fmla="+- 0 4084 4084"/>
                              <a:gd name="T17" fmla="*/ T16 w 2129"/>
                              <a:gd name="T18" fmla="+- 0 1758 1748"/>
                              <a:gd name="T19" fmla="*/ 1758 h 20"/>
                              <a:gd name="T20" fmla="+- 0 4087 4084"/>
                              <a:gd name="T21" fmla="*/ T20 w 2129"/>
                              <a:gd name="T22" fmla="+- 0 1766 1748"/>
                              <a:gd name="T23" fmla="*/ 1766 h 20"/>
                              <a:gd name="T24" fmla="+- 0 4094 4084"/>
                              <a:gd name="T25" fmla="*/ T24 w 2129"/>
                              <a:gd name="T26" fmla="+- 0 1768 1748"/>
                              <a:gd name="T27" fmla="*/ 1768 h 20"/>
                              <a:gd name="T28" fmla="+- 0 4102 4084"/>
                              <a:gd name="T29" fmla="*/ T28 w 2129"/>
                              <a:gd name="T30" fmla="+- 0 1766 1748"/>
                              <a:gd name="T31" fmla="*/ 1766 h 20"/>
                              <a:gd name="T32" fmla="+- 0 4102 4084"/>
                              <a:gd name="T33" fmla="*/ T32 w 2129"/>
                              <a:gd name="T34" fmla="+- 0 1766 1748"/>
                              <a:gd name="T35" fmla="*/ 1766 h 20"/>
                              <a:gd name="T36" fmla="+- 0 4104 4084"/>
                              <a:gd name="T37" fmla="*/ T36 w 2129"/>
                              <a:gd name="T38" fmla="+- 0 1758 1748"/>
                              <a:gd name="T39" fmla="*/ 1758 h 20"/>
                              <a:gd name="T40" fmla="+- 0 6213 4084"/>
                              <a:gd name="T41" fmla="*/ T40 w 2129"/>
                              <a:gd name="T42" fmla="+- 0 1758 1748"/>
                              <a:gd name="T43" fmla="*/ 1758 h 20"/>
                              <a:gd name="T44" fmla="+- 0 6211 4084"/>
                              <a:gd name="T45" fmla="*/ T44 w 2129"/>
                              <a:gd name="T46" fmla="+- 0 1751 1748"/>
                              <a:gd name="T47" fmla="*/ 1751 h 20"/>
                              <a:gd name="T48" fmla="+- 0 6203 4084"/>
                              <a:gd name="T49" fmla="*/ T48 w 2129"/>
                              <a:gd name="T50" fmla="+- 0 1748 1748"/>
                              <a:gd name="T51" fmla="*/ 1748 h 20"/>
                              <a:gd name="T52" fmla="+- 0 6196 4084"/>
                              <a:gd name="T53" fmla="*/ T52 w 2129"/>
                              <a:gd name="T54" fmla="+- 0 1751 1748"/>
                              <a:gd name="T55" fmla="*/ 1751 h 20"/>
                              <a:gd name="T56" fmla="+- 0 6193 4084"/>
                              <a:gd name="T57" fmla="*/ T56 w 2129"/>
                              <a:gd name="T58" fmla="+- 0 1758 1748"/>
                              <a:gd name="T59" fmla="*/ 1758 h 20"/>
                              <a:gd name="T60" fmla="+- 0 6196 4084"/>
                              <a:gd name="T61" fmla="*/ T60 w 2129"/>
                              <a:gd name="T62" fmla="+- 0 1766 1748"/>
                              <a:gd name="T63" fmla="*/ 1766 h 20"/>
                              <a:gd name="T64" fmla="+- 0 6203 4084"/>
                              <a:gd name="T65" fmla="*/ T64 w 2129"/>
                              <a:gd name="T66" fmla="+- 0 1768 1748"/>
                              <a:gd name="T67" fmla="*/ 1768 h 20"/>
                              <a:gd name="T68" fmla="+- 0 6211 4084"/>
                              <a:gd name="T69" fmla="*/ T68 w 2129"/>
                              <a:gd name="T70" fmla="+- 0 1766 1748"/>
                              <a:gd name="T71" fmla="*/ 1766 h 20"/>
                              <a:gd name="T72" fmla="+- 0 6213 4084"/>
                              <a:gd name="T73" fmla="*/ T72 w 2129"/>
                              <a:gd name="T74" fmla="+- 0 1758 1748"/>
                              <a:gd name="T75" fmla="*/ 17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29" h="20">
                                <a:moveTo>
                                  <a:pt x="20" y="10"/>
                                </a:moveTo>
                                <a:lnTo>
                                  <a:pt x="18" y="3"/>
                                </a:lnTo>
                                <a:lnTo>
                                  <a:pt x="10" y="0"/>
                                </a:lnTo>
                                <a:lnTo>
                                  <a:pt x="3" y="3"/>
                                </a:lnTo>
                                <a:lnTo>
                                  <a:pt x="0" y="10"/>
                                </a:lnTo>
                                <a:lnTo>
                                  <a:pt x="3" y="18"/>
                                </a:lnTo>
                                <a:lnTo>
                                  <a:pt x="10" y="20"/>
                                </a:lnTo>
                                <a:lnTo>
                                  <a:pt x="18" y="18"/>
                                </a:lnTo>
                                <a:lnTo>
                                  <a:pt x="20" y="10"/>
                                </a:lnTo>
                                <a:close/>
                                <a:moveTo>
                                  <a:pt x="2129" y="10"/>
                                </a:moveTo>
                                <a:lnTo>
                                  <a:pt x="2127" y="3"/>
                                </a:lnTo>
                                <a:lnTo>
                                  <a:pt x="2119" y="0"/>
                                </a:lnTo>
                                <a:lnTo>
                                  <a:pt x="2112" y="3"/>
                                </a:lnTo>
                                <a:lnTo>
                                  <a:pt x="2109" y="10"/>
                                </a:lnTo>
                                <a:lnTo>
                                  <a:pt x="2112" y="18"/>
                                </a:lnTo>
                                <a:lnTo>
                                  <a:pt x="2119" y="20"/>
                                </a:lnTo>
                                <a:lnTo>
                                  <a:pt x="2127" y="18"/>
                                </a:lnTo>
                                <a:lnTo>
                                  <a:pt x="2129" y="10"/>
                                </a:lnTo>
                                <a:close/>
                              </a:path>
                            </a:pathLst>
                          </a:custGeom>
                          <a:solidFill>
                            <a:srgbClr val="F37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Line 1355"/>
                        <wps:cNvCnPr/>
                        <wps:spPr bwMode="auto">
                          <a:xfrm>
                            <a:off x="6264" y="1758"/>
                            <a:ext cx="3287" cy="0"/>
                          </a:xfrm>
                          <a:prstGeom prst="line">
                            <a:avLst/>
                          </a:prstGeom>
                          <a:noFill/>
                          <a:ln w="12700">
                            <a:solidFill>
                              <a:srgbClr val="F37973"/>
                            </a:solidFill>
                            <a:prstDash val="dot"/>
                            <a:round/>
                            <a:headEnd/>
                            <a:tailEnd/>
                          </a:ln>
                          <a:extLst>
                            <a:ext uri="{909E8E84-426E-40DD-AFC4-6F175D3DCCD1}">
                              <a14:hiddenFill xmlns:a14="http://schemas.microsoft.com/office/drawing/2010/main">
                                <a:noFill/>
                              </a14:hiddenFill>
                            </a:ext>
                          </a:extLst>
                        </wps:spPr>
                        <wps:bodyPr/>
                      </wps:wsp>
                      <wps:wsp>
                        <wps:cNvPr id="1737" name="docshape184"/>
                        <wps:cNvSpPr>
                          <a:spLocks/>
                        </wps:cNvSpPr>
                        <wps:spPr bwMode="auto">
                          <a:xfrm>
                            <a:off x="6193" y="1748"/>
                            <a:ext cx="3398" cy="20"/>
                          </a:xfrm>
                          <a:custGeom>
                            <a:avLst/>
                            <a:gdLst>
                              <a:gd name="T0" fmla="+- 0 6213 6193"/>
                              <a:gd name="T1" fmla="*/ T0 w 3398"/>
                              <a:gd name="T2" fmla="+- 0 1758 1748"/>
                              <a:gd name="T3" fmla="*/ 1758 h 20"/>
                              <a:gd name="T4" fmla="+- 0 6211 6193"/>
                              <a:gd name="T5" fmla="*/ T4 w 3398"/>
                              <a:gd name="T6" fmla="+- 0 1751 1748"/>
                              <a:gd name="T7" fmla="*/ 1751 h 20"/>
                              <a:gd name="T8" fmla="+- 0 6203 6193"/>
                              <a:gd name="T9" fmla="*/ T8 w 3398"/>
                              <a:gd name="T10" fmla="+- 0 1748 1748"/>
                              <a:gd name="T11" fmla="*/ 1748 h 20"/>
                              <a:gd name="T12" fmla="+- 0 6196 6193"/>
                              <a:gd name="T13" fmla="*/ T12 w 3398"/>
                              <a:gd name="T14" fmla="+- 0 1751 1748"/>
                              <a:gd name="T15" fmla="*/ 1751 h 20"/>
                              <a:gd name="T16" fmla="+- 0 6193 6193"/>
                              <a:gd name="T17" fmla="*/ T16 w 3398"/>
                              <a:gd name="T18" fmla="+- 0 1758 1748"/>
                              <a:gd name="T19" fmla="*/ 1758 h 20"/>
                              <a:gd name="T20" fmla="+- 0 6196 6193"/>
                              <a:gd name="T21" fmla="*/ T20 w 3398"/>
                              <a:gd name="T22" fmla="+- 0 1766 1748"/>
                              <a:gd name="T23" fmla="*/ 1766 h 20"/>
                              <a:gd name="T24" fmla="+- 0 6203 6193"/>
                              <a:gd name="T25" fmla="*/ T24 w 3398"/>
                              <a:gd name="T26" fmla="+- 0 1768 1748"/>
                              <a:gd name="T27" fmla="*/ 1768 h 20"/>
                              <a:gd name="T28" fmla="+- 0 6211 6193"/>
                              <a:gd name="T29" fmla="*/ T28 w 3398"/>
                              <a:gd name="T30" fmla="+- 0 1766 1748"/>
                              <a:gd name="T31" fmla="*/ 1766 h 20"/>
                              <a:gd name="T32" fmla="+- 0 6211 6193"/>
                              <a:gd name="T33" fmla="*/ T32 w 3398"/>
                              <a:gd name="T34" fmla="+- 0 1766 1748"/>
                              <a:gd name="T35" fmla="*/ 1766 h 20"/>
                              <a:gd name="T36" fmla="+- 0 6213 6193"/>
                              <a:gd name="T37" fmla="*/ T36 w 3398"/>
                              <a:gd name="T38" fmla="+- 0 1758 1748"/>
                              <a:gd name="T39" fmla="*/ 1758 h 20"/>
                              <a:gd name="T40" fmla="+- 0 9591 6193"/>
                              <a:gd name="T41" fmla="*/ T40 w 3398"/>
                              <a:gd name="T42" fmla="+- 0 1758 1748"/>
                              <a:gd name="T43" fmla="*/ 1758 h 20"/>
                              <a:gd name="T44" fmla="+- 0 9588 6193"/>
                              <a:gd name="T45" fmla="*/ T44 w 3398"/>
                              <a:gd name="T46" fmla="+- 0 1751 1748"/>
                              <a:gd name="T47" fmla="*/ 1751 h 20"/>
                              <a:gd name="T48" fmla="+- 0 9581 6193"/>
                              <a:gd name="T49" fmla="*/ T48 w 3398"/>
                              <a:gd name="T50" fmla="+- 0 1748 1748"/>
                              <a:gd name="T51" fmla="*/ 1748 h 20"/>
                              <a:gd name="T52" fmla="+- 0 9574 6193"/>
                              <a:gd name="T53" fmla="*/ T52 w 3398"/>
                              <a:gd name="T54" fmla="+- 0 1751 1748"/>
                              <a:gd name="T55" fmla="*/ 1751 h 20"/>
                              <a:gd name="T56" fmla="+- 0 9571 6193"/>
                              <a:gd name="T57" fmla="*/ T56 w 3398"/>
                              <a:gd name="T58" fmla="+- 0 1758 1748"/>
                              <a:gd name="T59" fmla="*/ 1758 h 20"/>
                              <a:gd name="T60" fmla="+- 0 9574 6193"/>
                              <a:gd name="T61" fmla="*/ T60 w 3398"/>
                              <a:gd name="T62" fmla="+- 0 1766 1748"/>
                              <a:gd name="T63" fmla="*/ 1766 h 20"/>
                              <a:gd name="T64" fmla="+- 0 9581 6193"/>
                              <a:gd name="T65" fmla="*/ T64 w 3398"/>
                              <a:gd name="T66" fmla="+- 0 1768 1748"/>
                              <a:gd name="T67" fmla="*/ 1768 h 20"/>
                              <a:gd name="T68" fmla="+- 0 9588 6193"/>
                              <a:gd name="T69" fmla="*/ T68 w 3398"/>
                              <a:gd name="T70" fmla="+- 0 1766 1748"/>
                              <a:gd name="T71" fmla="*/ 1766 h 20"/>
                              <a:gd name="T72" fmla="+- 0 9591 6193"/>
                              <a:gd name="T73" fmla="*/ T72 w 3398"/>
                              <a:gd name="T74" fmla="+- 0 1758 1748"/>
                              <a:gd name="T75" fmla="*/ 17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98" h="20">
                                <a:moveTo>
                                  <a:pt x="20" y="10"/>
                                </a:moveTo>
                                <a:lnTo>
                                  <a:pt x="18" y="3"/>
                                </a:lnTo>
                                <a:lnTo>
                                  <a:pt x="10" y="0"/>
                                </a:lnTo>
                                <a:lnTo>
                                  <a:pt x="3" y="3"/>
                                </a:lnTo>
                                <a:lnTo>
                                  <a:pt x="0" y="10"/>
                                </a:lnTo>
                                <a:lnTo>
                                  <a:pt x="3" y="18"/>
                                </a:lnTo>
                                <a:lnTo>
                                  <a:pt x="10" y="20"/>
                                </a:lnTo>
                                <a:lnTo>
                                  <a:pt x="18" y="18"/>
                                </a:lnTo>
                                <a:lnTo>
                                  <a:pt x="20" y="10"/>
                                </a:lnTo>
                                <a:close/>
                                <a:moveTo>
                                  <a:pt x="3398" y="10"/>
                                </a:moveTo>
                                <a:lnTo>
                                  <a:pt x="3395" y="3"/>
                                </a:lnTo>
                                <a:lnTo>
                                  <a:pt x="3388" y="0"/>
                                </a:lnTo>
                                <a:lnTo>
                                  <a:pt x="3381" y="3"/>
                                </a:lnTo>
                                <a:lnTo>
                                  <a:pt x="3378" y="10"/>
                                </a:lnTo>
                                <a:lnTo>
                                  <a:pt x="3381" y="18"/>
                                </a:lnTo>
                                <a:lnTo>
                                  <a:pt x="3388" y="20"/>
                                </a:lnTo>
                                <a:lnTo>
                                  <a:pt x="3395" y="18"/>
                                </a:lnTo>
                                <a:lnTo>
                                  <a:pt x="3398" y="10"/>
                                </a:lnTo>
                                <a:close/>
                              </a:path>
                            </a:pathLst>
                          </a:custGeom>
                          <a:solidFill>
                            <a:srgbClr val="F37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7FE45" id="Group 1732" o:spid="_x0000_s1026" alt="&quot;&quot;" style="position:absolute;margin-left:204.2pt;margin-top:87.4pt;width:275.35pt;height:1pt;z-index:-251296768;mso-position-horizontal-relative:page" coordorigin="4084,1748" coordsize="55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">
                <v:shape id="docshape182" o:spid="_x0000_s1027" style="position:absolute;left:4084;top:1748;width:2129;height:20;visibility:visible;mso-wrap-style:square;v-text-anchor:top" coordsize="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" path="m20,10l18,3,10,,3,3,,10r3,8l10,20r8,-2l20,10xm2129,10r-2,-7l2119,r-7,3l2109,10r3,8l2119,20r8,-2l2129,10xe" fillcolor="#f37973" stroked="f">
                  <v:path arrowok="t" o:connecttype="custom" o:connectlocs="20,1758;18,1751;10,1748;3,1751;0,1758;3,1766;10,1768;18,1766;20,1758;2129,1758;2127,1751;2119,1748;2112,1751;2109,1758;2112,1766;2119,1768;2127,1766;2129,1758" o:connectangles="0,0,0,0,0,0,0,0,0,0,0,0,0,0,0,0,0,0"/>
                </v:shape>
                <v:line id="Line 1353" o:spid="_x0000_s1028" style="position:absolute;visibility:visible;mso-wrap-style:square" from="4155,1758" to="6173,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" strokecolor="#f37973" strokeweight="1pt">
                  <v:stroke dashstyle="dot"/>
                </v:line>
                <v:shape id="docshape183" o:spid="_x0000_s1029" style="position:absolute;left:4084;top:1748;width:2129;height:20;visibility:visible;mso-wrap-style:square;v-text-anchor:top" coordsize="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" path="m20,10l18,3,10,,3,3,,10r3,8l10,20r8,-2l20,10xm2129,10r-2,-7l2119,r-7,3l2109,10r3,8l2119,20r8,-2l2129,10xe" fillcolor="#f37973" stroked="f">
                  <v:path arrowok="t" o:connecttype="custom" o:connectlocs="20,1758;18,1751;10,1748;3,1751;0,1758;3,1766;10,1768;18,1766;18,1766;20,1758;2129,1758;2127,1751;2119,1748;2112,1751;2109,1758;2112,1766;2119,1768;2127,1766;2129,1758" o:connectangles="0,0,0,0,0,0,0,0,0,0,0,0,0,0,0,0,0,0,0"/>
                </v:shape>
                <v:line id="Line 1355" o:spid="_x0000_s1030" style="position:absolute;visibility:visible;mso-wrap-style:square" from="6264,1758" to="9551,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" strokecolor="#f37973" strokeweight="1pt">
                  <v:stroke dashstyle="dot"/>
                </v:line>
                <v:shape id="docshape184" o:spid="_x0000_s1031" style="position:absolute;left:6193;top:1748;width:3398;height:20;visibility:visible;mso-wrap-style:square;v-text-anchor:top" coordsize="33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" path="m20,10l18,3,10,,3,3,,10r3,8l10,20r8,-2l20,10xm3398,10r-3,-7l3388,r-7,3l3378,10r3,8l3388,20r7,-2l3398,10xe" fillcolor="#f37973" stroked="f">
                  <v:path arrowok="t" o:connecttype="custom" o:connectlocs="20,1758;18,1751;10,1748;3,1751;0,1758;3,1766;10,1768;18,1766;18,1766;20,1758;3398,1758;3395,1751;3388,1748;3381,1751;3378,1758;3381,1766;3388,1768;3395,1766;3398,1758" o:connectangles="0,0,0,0,0,0,0,0,0,0,0,0,0,0,0,0,0,0,0"/>
                </v:shape>
                <w10:wrap anchorx="page"/>
              </v:group>
            </w:pict>
          </mc:Fallback>
        </mc:AlternateContent>
      </w:r>
      <w:r w:rsidR="00EF27EC" w:rsidRPr="00C000B2">
        <w:rPr>
          <w:rFonts w:ascii="Arial"/>
          <w:i/>
          <w:noProof/>
          <w:lang w:eastAsia="en-NZ"/>
        </w:rPr>
        <mc:AlternateContent>
          <mc:Choice Requires="wps">
            <w:drawing>
              <wp:anchor distT="0" distB="0" distL="114300" distR="114300" simplePos="0" relativeHeight="252023808" behindDoc="1" locked="0" layoutInCell="1" allowOverlap="1" wp14:anchorId="3696E5D0" wp14:editId="5C40FCCD">
                <wp:simplePos x="0" y="0"/>
                <wp:positionH relativeFrom="page">
                  <wp:posOffset>1400810</wp:posOffset>
                </wp:positionH>
                <wp:positionV relativeFrom="paragraph">
                  <wp:posOffset>562610</wp:posOffset>
                </wp:positionV>
                <wp:extent cx="534670" cy="379730"/>
                <wp:effectExtent l="635" t="8890" r="7620" b="1905"/>
                <wp:wrapNone/>
                <wp:docPr id="1731" name="Freeform 1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 cy="379730"/>
                        </a:xfrm>
                        <a:custGeom>
                          <a:avLst/>
                          <a:gdLst>
                            <a:gd name="T0" fmla="+- 0 2206 2206"/>
                            <a:gd name="T1" fmla="*/ T0 w 842"/>
                            <a:gd name="T2" fmla="+- 0 1370 886"/>
                            <a:gd name="T3" fmla="*/ 1370 h 598"/>
                            <a:gd name="T4" fmla="+- 0 2927 2206"/>
                            <a:gd name="T5" fmla="*/ T4 w 842"/>
                            <a:gd name="T6" fmla="+- 0 1483 886"/>
                            <a:gd name="T7" fmla="*/ 1483 h 598"/>
                            <a:gd name="T8" fmla="+- 0 2988 2206"/>
                            <a:gd name="T9" fmla="*/ T8 w 842"/>
                            <a:gd name="T10" fmla="+- 0 1369 886"/>
                            <a:gd name="T11" fmla="*/ 1369 h 598"/>
                            <a:gd name="T12" fmla="+- 0 2953 2206"/>
                            <a:gd name="T13" fmla="*/ T12 w 842"/>
                            <a:gd name="T14" fmla="+- 0 1483 886"/>
                            <a:gd name="T15" fmla="*/ 1483 h 598"/>
                            <a:gd name="T16" fmla="+- 0 2988 2206"/>
                            <a:gd name="T17" fmla="*/ T16 w 842"/>
                            <a:gd name="T18" fmla="+- 0 1369 886"/>
                            <a:gd name="T19" fmla="*/ 1369 h 598"/>
                            <a:gd name="T20" fmla="+- 0 2983 2206"/>
                            <a:gd name="T21" fmla="*/ T20 w 842"/>
                            <a:gd name="T22" fmla="+- 0 1260 886"/>
                            <a:gd name="T23" fmla="*/ 1260 h 598"/>
                            <a:gd name="T24" fmla="+- 0 2932 2206"/>
                            <a:gd name="T25" fmla="*/ T24 w 842"/>
                            <a:gd name="T26" fmla="+- 0 1208 886"/>
                            <a:gd name="T27" fmla="*/ 1208 h 598"/>
                            <a:gd name="T28" fmla="+- 0 2783 2206"/>
                            <a:gd name="T29" fmla="*/ T28 w 842"/>
                            <a:gd name="T30" fmla="+- 0 1201 886"/>
                            <a:gd name="T31" fmla="*/ 1201 h 598"/>
                            <a:gd name="T32" fmla="+- 0 2746 2206"/>
                            <a:gd name="T33" fmla="*/ T32 w 842"/>
                            <a:gd name="T34" fmla="+- 0 1186 886"/>
                            <a:gd name="T35" fmla="*/ 1186 h 598"/>
                            <a:gd name="T36" fmla="+- 0 2731 2206"/>
                            <a:gd name="T37" fmla="*/ T36 w 842"/>
                            <a:gd name="T38" fmla="+- 0 1149 886"/>
                            <a:gd name="T39" fmla="*/ 1149 h 598"/>
                            <a:gd name="T40" fmla="+- 0 2733 2206"/>
                            <a:gd name="T41" fmla="*/ T40 w 842"/>
                            <a:gd name="T42" fmla="+- 0 1126 886"/>
                            <a:gd name="T43" fmla="*/ 1126 h 598"/>
                            <a:gd name="T44" fmla="+- 0 2740 2206"/>
                            <a:gd name="T45" fmla="*/ T44 w 842"/>
                            <a:gd name="T46" fmla="+- 0 1101 886"/>
                            <a:gd name="T47" fmla="*/ 1101 h 598"/>
                            <a:gd name="T48" fmla="+- 0 2729 2206"/>
                            <a:gd name="T49" fmla="*/ T48 w 842"/>
                            <a:gd name="T50" fmla="+- 0 1085 886"/>
                            <a:gd name="T51" fmla="*/ 1085 h 598"/>
                            <a:gd name="T52" fmla="+- 0 2703 2206"/>
                            <a:gd name="T53" fmla="*/ T52 w 842"/>
                            <a:gd name="T54" fmla="+- 0 1083 886"/>
                            <a:gd name="T55" fmla="*/ 1083 h 598"/>
                            <a:gd name="T56" fmla="+- 0 2668 2206"/>
                            <a:gd name="T57" fmla="*/ T56 w 842"/>
                            <a:gd name="T58" fmla="+- 0 1073 886"/>
                            <a:gd name="T59" fmla="*/ 1073 h 598"/>
                            <a:gd name="T60" fmla="+- 0 2629 2206"/>
                            <a:gd name="T61" fmla="*/ T60 w 842"/>
                            <a:gd name="T62" fmla="+- 0 1030 886"/>
                            <a:gd name="T63" fmla="*/ 1030 h 598"/>
                            <a:gd name="T64" fmla="+- 0 2631 2206"/>
                            <a:gd name="T65" fmla="*/ T64 w 842"/>
                            <a:gd name="T66" fmla="+- 0 969 886"/>
                            <a:gd name="T67" fmla="*/ 969 h 598"/>
                            <a:gd name="T68" fmla="+- 0 2666 2206"/>
                            <a:gd name="T69" fmla="*/ T68 w 842"/>
                            <a:gd name="T70" fmla="+- 0 931 886"/>
                            <a:gd name="T71" fmla="*/ 931 h 598"/>
                            <a:gd name="T72" fmla="+- 0 2705 2206"/>
                            <a:gd name="T73" fmla="*/ T72 w 842"/>
                            <a:gd name="T74" fmla="+- 0 926 886"/>
                            <a:gd name="T75" fmla="*/ 926 h 598"/>
                            <a:gd name="T76" fmla="+- 0 2713 2206"/>
                            <a:gd name="T77" fmla="*/ T76 w 842"/>
                            <a:gd name="T78" fmla="+- 0 888 886"/>
                            <a:gd name="T79" fmla="*/ 888 h 598"/>
                            <a:gd name="T80" fmla="+- 0 2678 2206"/>
                            <a:gd name="T81" fmla="*/ T80 w 842"/>
                            <a:gd name="T82" fmla="+- 0 889 886"/>
                            <a:gd name="T83" fmla="*/ 889 h 598"/>
                            <a:gd name="T84" fmla="+- 0 2660 2206"/>
                            <a:gd name="T85" fmla="*/ T84 w 842"/>
                            <a:gd name="T86" fmla="+- 0 893 886"/>
                            <a:gd name="T87" fmla="*/ 893 h 598"/>
                            <a:gd name="T88" fmla="+- 0 2606 2206"/>
                            <a:gd name="T89" fmla="*/ T88 w 842"/>
                            <a:gd name="T90" fmla="+- 0 934 886"/>
                            <a:gd name="T91" fmla="*/ 934 h 598"/>
                            <a:gd name="T92" fmla="+- 0 2587 2206"/>
                            <a:gd name="T93" fmla="*/ T92 w 842"/>
                            <a:gd name="T94" fmla="+- 0 1004 886"/>
                            <a:gd name="T95" fmla="*/ 1004 h 598"/>
                            <a:gd name="T96" fmla="+- 0 2609 2206"/>
                            <a:gd name="T97" fmla="*/ T96 w 842"/>
                            <a:gd name="T98" fmla="+- 0 1073 886"/>
                            <a:gd name="T99" fmla="*/ 1073 h 598"/>
                            <a:gd name="T100" fmla="+- 0 2668 2206"/>
                            <a:gd name="T101" fmla="*/ T100 w 842"/>
                            <a:gd name="T102" fmla="+- 0 1115 886"/>
                            <a:gd name="T103" fmla="*/ 1115 h 598"/>
                            <a:gd name="T104" fmla="+- 0 2694 2206"/>
                            <a:gd name="T105" fmla="*/ T104 w 842"/>
                            <a:gd name="T106" fmla="+- 0 1122 886"/>
                            <a:gd name="T107" fmla="*/ 1122 h 598"/>
                            <a:gd name="T108" fmla="+- 0 2697 2206"/>
                            <a:gd name="T109" fmla="*/ T108 w 842"/>
                            <a:gd name="T110" fmla="+- 0 1174 886"/>
                            <a:gd name="T111" fmla="*/ 1174 h 598"/>
                            <a:gd name="T112" fmla="+- 0 2747 2206"/>
                            <a:gd name="T113" fmla="*/ T112 w 842"/>
                            <a:gd name="T114" fmla="+- 0 1232 886"/>
                            <a:gd name="T115" fmla="*/ 1232 h 598"/>
                            <a:gd name="T116" fmla="+- 0 2814 2206"/>
                            <a:gd name="T117" fmla="*/ T116 w 842"/>
                            <a:gd name="T118" fmla="+- 0 1238 886"/>
                            <a:gd name="T119" fmla="*/ 1238 h 598"/>
                            <a:gd name="T120" fmla="+- 0 2883 2206"/>
                            <a:gd name="T121" fmla="*/ T120 w 842"/>
                            <a:gd name="T122" fmla="+- 0 1239 886"/>
                            <a:gd name="T123" fmla="*/ 1239 h 598"/>
                            <a:gd name="T124" fmla="+- 0 2935 2206"/>
                            <a:gd name="T125" fmla="*/ T124 w 842"/>
                            <a:gd name="T126" fmla="+- 0 1254 886"/>
                            <a:gd name="T127" fmla="*/ 1254 h 598"/>
                            <a:gd name="T128" fmla="+- 0 2951 2206"/>
                            <a:gd name="T129" fmla="*/ T128 w 842"/>
                            <a:gd name="T130" fmla="+- 0 1306 886"/>
                            <a:gd name="T131" fmla="*/ 1306 h 598"/>
                            <a:gd name="T132" fmla="+- 0 2989 2206"/>
                            <a:gd name="T133" fmla="*/ T132 w 842"/>
                            <a:gd name="T134" fmla="+- 0 1347 886"/>
                            <a:gd name="T135" fmla="*/ 1347 h 598"/>
                            <a:gd name="T136" fmla="+- 0 3048 2206"/>
                            <a:gd name="T137" fmla="*/ T136 w 842"/>
                            <a:gd name="T138" fmla="+- 0 1261 886"/>
                            <a:gd name="T139" fmla="*/ 1261 h 598"/>
                            <a:gd name="T140" fmla="+- 0 2990 2206"/>
                            <a:gd name="T141" fmla="*/ T140 w 842"/>
                            <a:gd name="T142" fmla="+- 0 1144 886"/>
                            <a:gd name="T143" fmla="*/ 1144 h 598"/>
                            <a:gd name="T144" fmla="+- 0 2860 2206"/>
                            <a:gd name="T145" fmla="*/ T144 w 842"/>
                            <a:gd name="T146" fmla="+- 0 1106 886"/>
                            <a:gd name="T147" fmla="*/ 1106 h 598"/>
                            <a:gd name="T148" fmla="+- 0 2867 2206"/>
                            <a:gd name="T149" fmla="*/ T148 w 842"/>
                            <a:gd name="T150" fmla="+- 0 1084 886"/>
                            <a:gd name="T151" fmla="*/ 1084 h 598"/>
                            <a:gd name="T152" fmla="+- 0 2867 2206"/>
                            <a:gd name="T153" fmla="*/ T152 w 842"/>
                            <a:gd name="T154" fmla="+- 0 1017 886"/>
                            <a:gd name="T155" fmla="*/ 1017 h 598"/>
                            <a:gd name="T156" fmla="+- 0 2800 2206"/>
                            <a:gd name="T157" fmla="*/ T156 w 842"/>
                            <a:gd name="T158" fmla="+- 0 937 886"/>
                            <a:gd name="T159" fmla="*/ 937 h 598"/>
                            <a:gd name="T160" fmla="+- 0 2733 2206"/>
                            <a:gd name="T161" fmla="*/ T160 w 842"/>
                            <a:gd name="T162" fmla="+- 0 926 886"/>
                            <a:gd name="T163" fmla="*/ 926 h 598"/>
                            <a:gd name="T164" fmla="+- 0 2721 2206"/>
                            <a:gd name="T165" fmla="*/ T164 w 842"/>
                            <a:gd name="T166" fmla="+- 0 958 886"/>
                            <a:gd name="T167" fmla="*/ 958 h 598"/>
                            <a:gd name="T168" fmla="+- 0 2754 2206"/>
                            <a:gd name="T169" fmla="*/ T168 w 842"/>
                            <a:gd name="T170" fmla="+- 0 964 886"/>
                            <a:gd name="T171" fmla="*/ 964 h 598"/>
                            <a:gd name="T172" fmla="+- 0 2801 2206"/>
                            <a:gd name="T173" fmla="*/ T172 w 842"/>
                            <a:gd name="T174" fmla="+- 0 983 886"/>
                            <a:gd name="T175" fmla="*/ 983 h 598"/>
                            <a:gd name="T176" fmla="+- 0 2829 2206"/>
                            <a:gd name="T177" fmla="*/ T176 w 842"/>
                            <a:gd name="T178" fmla="+- 0 1025 886"/>
                            <a:gd name="T179" fmla="*/ 1025 h 598"/>
                            <a:gd name="T180" fmla="+- 0 2831 2206"/>
                            <a:gd name="T181" fmla="*/ T180 w 842"/>
                            <a:gd name="T182" fmla="+- 0 1067 886"/>
                            <a:gd name="T183" fmla="*/ 1067 h 598"/>
                            <a:gd name="T184" fmla="+- 0 2816 2206"/>
                            <a:gd name="T185" fmla="*/ T184 w 842"/>
                            <a:gd name="T186" fmla="+- 0 1107 886"/>
                            <a:gd name="T187" fmla="*/ 1107 h 598"/>
                            <a:gd name="T188" fmla="+- 0 2809 2206"/>
                            <a:gd name="T189" fmla="*/ T188 w 842"/>
                            <a:gd name="T190" fmla="+- 0 1137 886"/>
                            <a:gd name="T191" fmla="*/ 1137 h 598"/>
                            <a:gd name="T192" fmla="+- 0 2839 2206"/>
                            <a:gd name="T193" fmla="*/ T192 w 842"/>
                            <a:gd name="T194" fmla="+- 0 1146 886"/>
                            <a:gd name="T195" fmla="*/ 1146 h 598"/>
                            <a:gd name="T196" fmla="+- 0 2902 2206"/>
                            <a:gd name="T197" fmla="*/ T196 w 842"/>
                            <a:gd name="T198" fmla="+- 0 1148 886"/>
                            <a:gd name="T199" fmla="*/ 1148 h 598"/>
                            <a:gd name="T200" fmla="+- 0 2977 2206"/>
                            <a:gd name="T201" fmla="*/ T200 w 842"/>
                            <a:gd name="T202" fmla="+- 0 1185 886"/>
                            <a:gd name="T203" fmla="*/ 1185 h 598"/>
                            <a:gd name="T204" fmla="+- 0 3010 2206"/>
                            <a:gd name="T205" fmla="*/ T204 w 842"/>
                            <a:gd name="T206" fmla="+- 0 1263 886"/>
                            <a:gd name="T207" fmla="*/ 1263 h 598"/>
                            <a:gd name="T208" fmla="+- 0 3010 2206"/>
                            <a:gd name="T209" fmla="*/ T208 w 842"/>
                            <a:gd name="T210" fmla="+- 0 1346 886"/>
                            <a:gd name="T211" fmla="*/ 1346 h 598"/>
                            <a:gd name="T212" fmla="+- 0 3048 2206"/>
                            <a:gd name="T213" fmla="*/ T212 w 842"/>
                            <a:gd name="T214" fmla="+- 0 1261 886"/>
                            <a:gd name="T215" fmla="*/ 1261 h 598"/>
                            <a:gd name="T216" fmla="+- 0 3012 2206"/>
                            <a:gd name="T217" fmla="*/ T216 w 842"/>
                            <a:gd name="T218" fmla="+- 0 1369 886"/>
                            <a:gd name="T219" fmla="*/ 1369 h 598"/>
                            <a:gd name="T220" fmla="+- 0 3048 2206"/>
                            <a:gd name="T221" fmla="*/ T220 w 842"/>
                            <a:gd name="T222" fmla="+- 0 1483 886"/>
                            <a:gd name="T223" fmla="*/ 148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2" h="598">
                              <a:moveTo>
                                <a:pt x="721" y="484"/>
                              </a:moveTo>
                              <a:lnTo>
                                <a:pt x="0" y="484"/>
                              </a:lnTo>
                              <a:lnTo>
                                <a:pt x="0" y="597"/>
                              </a:lnTo>
                              <a:lnTo>
                                <a:pt x="721" y="597"/>
                              </a:lnTo>
                              <a:lnTo>
                                <a:pt x="721" y="484"/>
                              </a:lnTo>
                              <a:close/>
                              <a:moveTo>
                                <a:pt x="782" y="483"/>
                              </a:moveTo>
                              <a:lnTo>
                                <a:pt x="747" y="483"/>
                              </a:lnTo>
                              <a:lnTo>
                                <a:pt x="747" y="597"/>
                              </a:lnTo>
                              <a:lnTo>
                                <a:pt x="782" y="597"/>
                              </a:lnTo>
                              <a:lnTo>
                                <a:pt x="782" y="483"/>
                              </a:lnTo>
                              <a:close/>
                              <a:moveTo>
                                <a:pt x="783" y="418"/>
                              </a:moveTo>
                              <a:lnTo>
                                <a:pt x="777" y="374"/>
                              </a:lnTo>
                              <a:lnTo>
                                <a:pt x="757" y="342"/>
                              </a:lnTo>
                              <a:lnTo>
                                <a:pt x="726" y="322"/>
                              </a:lnTo>
                              <a:lnTo>
                                <a:pt x="682" y="315"/>
                              </a:lnTo>
                              <a:lnTo>
                                <a:pt x="577" y="315"/>
                              </a:lnTo>
                              <a:lnTo>
                                <a:pt x="556" y="311"/>
                              </a:lnTo>
                              <a:lnTo>
                                <a:pt x="540" y="300"/>
                              </a:lnTo>
                              <a:lnTo>
                                <a:pt x="529" y="284"/>
                              </a:lnTo>
                              <a:lnTo>
                                <a:pt x="525" y="263"/>
                              </a:lnTo>
                              <a:lnTo>
                                <a:pt x="525" y="252"/>
                              </a:lnTo>
                              <a:lnTo>
                                <a:pt x="527" y="240"/>
                              </a:lnTo>
                              <a:lnTo>
                                <a:pt x="531" y="229"/>
                              </a:lnTo>
                              <a:lnTo>
                                <a:pt x="534" y="215"/>
                              </a:lnTo>
                              <a:lnTo>
                                <a:pt x="531" y="205"/>
                              </a:lnTo>
                              <a:lnTo>
                                <a:pt x="523" y="199"/>
                              </a:lnTo>
                              <a:lnTo>
                                <a:pt x="508" y="197"/>
                              </a:lnTo>
                              <a:lnTo>
                                <a:pt x="497" y="197"/>
                              </a:lnTo>
                              <a:lnTo>
                                <a:pt x="492" y="196"/>
                              </a:lnTo>
                              <a:lnTo>
                                <a:pt x="462" y="187"/>
                              </a:lnTo>
                              <a:lnTo>
                                <a:pt x="438" y="169"/>
                              </a:lnTo>
                              <a:lnTo>
                                <a:pt x="423" y="144"/>
                              </a:lnTo>
                              <a:lnTo>
                                <a:pt x="419" y="113"/>
                              </a:lnTo>
                              <a:lnTo>
                                <a:pt x="425" y="83"/>
                              </a:lnTo>
                              <a:lnTo>
                                <a:pt x="439" y="60"/>
                              </a:lnTo>
                              <a:lnTo>
                                <a:pt x="460" y="45"/>
                              </a:lnTo>
                              <a:lnTo>
                                <a:pt x="486" y="40"/>
                              </a:lnTo>
                              <a:lnTo>
                                <a:pt x="499" y="40"/>
                              </a:lnTo>
                              <a:lnTo>
                                <a:pt x="511" y="35"/>
                              </a:lnTo>
                              <a:lnTo>
                                <a:pt x="507" y="2"/>
                              </a:lnTo>
                              <a:lnTo>
                                <a:pt x="495" y="0"/>
                              </a:lnTo>
                              <a:lnTo>
                                <a:pt x="472" y="3"/>
                              </a:lnTo>
                              <a:lnTo>
                                <a:pt x="463" y="4"/>
                              </a:lnTo>
                              <a:lnTo>
                                <a:pt x="454" y="7"/>
                              </a:lnTo>
                              <a:lnTo>
                                <a:pt x="423" y="23"/>
                              </a:lnTo>
                              <a:lnTo>
                                <a:pt x="400" y="48"/>
                              </a:lnTo>
                              <a:lnTo>
                                <a:pt x="386" y="80"/>
                              </a:lnTo>
                              <a:lnTo>
                                <a:pt x="381" y="118"/>
                              </a:lnTo>
                              <a:lnTo>
                                <a:pt x="386" y="155"/>
                              </a:lnTo>
                              <a:lnTo>
                                <a:pt x="403" y="187"/>
                              </a:lnTo>
                              <a:lnTo>
                                <a:pt x="429" y="212"/>
                              </a:lnTo>
                              <a:lnTo>
                                <a:pt x="462" y="229"/>
                              </a:lnTo>
                              <a:lnTo>
                                <a:pt x="471" y="231"/>
                              </a:lnTo>
                              <a:lnTo>
                                <a:pt x="488" y="236"/>
                              </a:lnTo>
                              <a:lnTo>
                                <a:pt x="487" y="247"/>
                              </a:lnTo>
                              <a:lnTo>
                                <a:pt x="491" y="288"/>
                              </a:lnTo>
                              <a:lnTo>
                                <a:pt x="509" y="323"/>
                              </a:lnTo>
                              <a:lnTo>
                                <a:pt x="541" y="346"/>
                              </a:lnTo>
                              <a:lnTo>
                                <a:pt x="585" y="353"/>
                              </a:lnTo>
                              <a:lnTo>
                                <a:pt x="608" y="352"/>
                              </a:lnTo>
                              <a:lnTo>
                                <a:pt x="631" y="352"/>
                              </a:lnTo>
                              <a:lnTo>
                                <a:pt x="677" y="353"/>
                              </a:lnTo>
                              <a:lnTo>
                                <a:pt x="708" y="356"/>
                              </a:lnTo>
                              <a:lnTo>
                                <a:pt x="729" y="368"/>
                              </a:lnTo>
                              <a:lnTo>
                                <a:pt x="741" y="389"/>
                              </a:lnTo>
                              <a:lnTo>
                                <a:pt x="745" y="420"/>
                              </a:lnTo>
                              <a:lnTo>
                                <a:pt x="745" y="461"/>
                              </a:lnTo>
                              <a:lnTo>
                                <a:pt x="783" y="461"/>
                              </a:lnTo>
                              <a:lnTo>
                                <a:pt x="783" y="418"/>
                              </a:lnTo>
                              <a:close/>
                              <a:moveTo>
                                <a:pt x="842" y="375"/>
                              </a:moveTo>
                              <a:lnTo>
                                <a:pt x="822" y="307"/>
                              </a:lnTo>
                              <a:lnTo>
                                <a:pt x="784" y="258"/>
                              </a:lnTo>
                              <a:lnTo>
                                <a:pt x="727" y="228"/>
                              </a:lnTo>
                              <a:lnTo>
                                <a:pt x="654" y="220"/>
                              </a:lnTo>
                              <a:lnTo>
                                <a:pt x="658" y="208"/>
                              </a:lnTo>
                              <a:lnTo>
                                <a:pt x="661" y="198"/>
                              </a:lnTo>
                              <a:lnTo>
                                <a:pt x="663" y="187"/>
                              </a:lnTo>
                              <a:lnTo>
                                <a:pt x="661" y="131"/>
                              </a:lnTo>
                              <a:lnTo>
                                <a:pt x="636" y="84"/>
                              </a:lnTo>
                              <a:lnTo>
                                <a:pt x="594" y="51"/>
                              </a:lnTo>
                              <a:lnTo>
                                <a:pt x="539" y="39"/>
                              </a:lnTo>
                              <a:lnTo>
                                <a:pt x="527" y="40"/>
                              </a:lnTo>
                              <a:lnTo>
                                <a:pt x="517" y="43"/>
                              </a:lnTo>
                              <a:lnTo>
                                <a:pt x="515" y="72"/>
                              </a:lnTo>
                              <a:lnTo>
                                <a:pt x="525" y="77"/>
                              </a:lnTo>
                              <a:lnTo>
                                <a:pt x="548" y="78"/>
                              </a:lnTo>
                              <a:lnTo>
                                <a:pt x="574" y="84"/>
                              </a:lnTo>
                              <a:lnTo>
                                <a:pt x="595" y="97"/>
                              </a:lnTo>
                              <a:lnTo>
                                <a:pt x="612" y="116"/>
                              </a:lnTo>
                              <a:lnTo>
                                <a:pt x="623" y="139"/>
                              </a:lnTo>
                              <a:lnTo>
                                <a:pt x="627" y="160"/>
                              </a:lnTo>
                              <a:lnTo>
                                <a:pt x="625" y="181"/>
                              </a:lnTo>
                              <a:lnTo>
                                <a:pt x="619" y="201"/>
                              </a:lnTo>
                              <a:lnTo>
                                <a:pt x="610" y="221"/>
                              </a:lnTo>
                              <a:lnTo>
                                <a:pt x="602" y="239"/>
                              </a:lnTo>
                              <a:lnTo>
                                <a:pt x="603" y="251"/>
                              </a:lnTo>
                              <a:lnTo>
                                <a:pt x="613" y="258"/>
                              </a:lnTo>
                              <a:lnTo>
                                <a:pt x="633" y="260"/>
                              </a:lnTo>
                              <a:lnTo>
                                <a:pt x="680" y="261"/>
                              </a:lnTo>
                              <a:lnTo>
                                <a:pt x="696" y="262"/>
                              </a:lnTo>
                              <a:lnTo>
                                <a:pt x="738" y="274"/>
                              </a:lnTo>
                              <a:lnTo>
                                <a:pt x="771" y="299"/>
                              </a:lnTo>
                              <a:lnTo>
                                <a:pt x="794" y="334"/>
                              </a:lnTo>
                              <a:lnTo>
                                <a:pt x="804" y="377"/>
                              </a:lnTo>
                              <a:lnTo>
                                <a:pt x="804" y="397"/>
                              </a:lnTo>
                              <a:lnTo>
                                <a:pt x="804" y="460"/>
                              </a:lnTo>
                              <a:lnTo>
                                <a:pt x="842" y="460"/>
                              </a:lnTo>
                              <a:lnTo>
                                <a:pt x="842" y="375"/>
                              </a:lnTo>
                              <a:close/>
                              <a:moveTo>
                                <a:pt x="842" y="483"/>
                              </a:moveTo>
                              <a:lnTo>
                                <a:pt x="806" y="483"/>
                              </a:lnTo>
                              <a:lnTo>
                                <a:pt x="806" y="597"/>
                              </a:lnTo>
                              <a:lnTo>
                                <a:pt x="842" y="597"/>
                              </a:lnTo>
                              <a:lnTo>
                                <a:pt x="842" y="483"/>
                              </a:lnTo>
                              <a:close/>
                            </a:path>
                          </a:pathLst>
                        </a:custGeom>
                        <a:solidFill>
                          <a:srgbClr val="F37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33FFD" id="Freeform 1731" o:spid="_x0000_s1026" alt="&quot;&quot;" style="position:absolute;margin-left:110.3pt;margin-top:44.3pt;width:42.1pt;height:29.9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" path="m721,484l,484,,597r721,l721,484xm782,483r-35,l747,597r35,l782,483xm783,418r-6,-44l757,342,726,322r-44,-7l577,315r-21,-4l540,300,529,284r-4,-21l525,252r2,-12l531,229r3,-14l531,205r-8,-6l508,197r-11,l492,196r-30,-9l438,169,423,144r-4,-31l425,83,439,60,460,45r26,-5l499,40r12,-5l507,2,495,,472,3r-9,1l454,7,423,23,400,48,386,80r-5,38l386,155r17,32l429,212r33,17l471,231r17,5l487,247r4,41l509,323r32,23l585,353r23,-1l631,352r46,1l708,356r21,12l741,389r4,31l745,461r38,l783,418xm842,375l822,307,784,258,727,228r-73,-8l658,208r3,-10l663,187r-2,-56l636,84,594,51,539,39r-12,1l517,43r-2,29l525,77r23,1l574,84r21,13l612,116r11,23l627,160r-2,21l619,201r-9,20l602,239r1,12l613,258r20,2l680,261r16,1l738,274r33,25l794,334r10,43l804,397r,63l842,460r,-85xm842,483r-36,l806,597r36,l842,483xe" fillcolor="#f37973" stroked="f">
                <v:path arrowok="t" o:connecttype="custom" o:connectlocs="0,869950;457835,941705;496570,869315;474345,941705;496570,869315;493395,800100;461010,767080;366395,762635;342900,753110;333375,729615;334645,715010;339090,699135;332105,688975;315595,687705;293370,681355;268605,654050;269875,615315;292100,591185;316865,588010;321945,563880;299720,564515;288290,567055;254000,593090;241935,637540;255905,681355;293370,708025;309880,712470;311785,745490;343535,782320;386080,786130;429895,786765;462915,796290;473075,829310;497205,855345;534670,800735;497840,726440;415290,702310;419735,688340;419735,645795;377190,594995;334645,588010;327025,608330;347980,612140;377825,624205;395605,650875;396875,677545;387350,702945;382905,721995;401955,727710;441960,728980;489585,752475;510540,802005;510540,854710;534670,800735;511810,869315;534670,941705" o:connectangles="0,0,0,0,0,0,0,0,0,0,0,0,0,0,0,0,0,0,0,0,0,0,0,0,0,0,0,0,0,0,0,0,0,0,0,0,0,0,0,0,0,0,0,0,0,0,0,0,0,0,0,0,0,0,0,0"/>
                <w10:wrap anchorx="page"/>
              </v:shape>
            </w:pict>
          </mc:Fallback>
        </mc:AlternateContent>
      </w:r>
      <w:r w:rsidR="00EF27EC" w:rsidRPr="00C000B2">
        <w:rPr>
          <w:rFonts w:ascii="Arial"/>
          <w:i/>
          <w:noProof/>
          <w:lang w:eastAsia="en-NZ"/>
        </w:rPr>
        <mc:AlternateContent>
          <mc:Choice Requires="wpg">
            <w:drawing>
              <wp:anchor distT="0" distB="0" distL="114300" distR="114300" simplePos="0" relativeHeight="252024832" behindDoc="1" locked="0" layoutInCell="1" allowOverlap="1" wp14:anchorId="2248D4BF" wp14:editId="442F1DF0">
                <wp:simplePos x="0" y="0"/>
                <wp:positionH relativeFrom="page">
                  <wp:posOffset>1520190</wp:posOffset>
                </wp:positionH>
                <wp:positionV relativeFrom="paragraph">
                  <wp:posOffset>1369695</wp:posOffset>
                </wp:positionV>
                <wp:extent cx="374650" cy="374650"/>
                <wp:effectExtent l="5715" t="6350" r="635" b="0"/>
                <wp:wrapNone/>
                <wp:docPr id="1727" name="Group 1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74650"/>
                          <a:chOff x="2394" y="2157"/>
                          <a:chExt cx="590" cy="590"/>
                        </a:xfrm>
                      </wpg:grpSpPr>
                      <wps:wsp>
                        <wps:cNvPr id="1728" name="docshape187"/>
                        <wps:cNvSpPr>
                          <a:spLocks/>
                        </wps:cNvSpPr>
                        <wps:spPr bwMode="auto">
                          <a:xfrm>
                            <a:off x="2393" y="2156"/>
                            <a:ext cx="590" cy="590"/>
                          </a:xfrm>
                          <a:custGeom>
                            <a:avLst/>
                            <a:gdLst>
                              <a:gd name="T0" fmla="+- 0 2886 2394"/>
                              <a:gd name="T1" fmla="*/ T0 w 590"/>
                              <a:gd name="T2" fmla="+- 0 2157 2157"/>
                              <a:gd name="T3" fmla="*/ 2157 h 590"/>
                              <a:gd name="T4" fmla="+- 0 2491 2394"/>
                              <a:gd name="T5" fmla="*/ T4 w 590"/>
                              <a:gd name="T6" fmla="+- 0 2157 2157"/>
                              <a:gd name="T7" fmla="*/ 2157 h 590"/>
                              <a:gd name="T8" fmla="+- 0 2477 2394"/>
                              <a:gd name="T9" fmla="*/ T8 w 590"/>
                              <a:gd name="T10" fmla="+- 0 2161 2157"/>
                              <a:gd name="T11" fmla="*/ 2161 h 590"/>
                              <a:gd name="T12" fmla="+- 0 2447 2394"/>
                              <a:gd name="T13" fmla="*/ T12 w 590"/>
                              <a:gd name="T14" fmla="+- 0 2174 2157"/>
                              <a:gd name="T15" fmla="*/ 2174 h 590"/>
                              <a:gd name="T16" fmla="+- 0 2423 2394"/>
                              <a:gd name="T17" fmla="*/ T16 w 590"/>
                              <a:gd name="T18" fmla="+- 0 2192 2157"/>
                              <a:gd name="T19" fmla="*/ 2192 h 590"/>
                              <a:gd name="T20" fmla="+- 0 2406 2394"/>
                              <a:gd name="T21" fmla="*/ T20 w 590"/>
                              <a:gd name="T22" fmla="+- 0 2217 2157"/>
                              <a:gd name="T23" fmla="*/ 2217 h 590"/>
                              <a:gd name="T24" fmla="+- 0 2396 2394"/>
                              <a:gd name="T25" fmla="*/ T24 w 590"/>
                              <a:gd name="T26" fmla="+- 0 2248 2157"/>
                              <a:gd name="T27" fmla="*/ 2248 h 590"/>
                              <a:gd name="T28" fmla="+- 0 2396 2394"/>
                              <a:gd name="T29" fmla="*/ T28 w 590"/>
                              <a:gd name="T30" fmla="+- 0 2250 2157"/>
                              <a:gd name="T31" fmla="*/ 2250 h 590"/>
                              <a:gd name="T32" fmla="+- 0 2394 2394"/>
                              <a:gd name="T33" fmla="*/ T32 w 590"/>
                              <a:gd name="T34" fmla="+- 0 2252 2157"/>
                              <a:gd name="T35" fmla="*/ 2252 h 590"/>
                              <a:gd name="T36" fmla="+- 0 2394 2394"/>
                              <a:gd name="T37" fmla="*/ T36 w 590"/>
                              <a:gd name="T38" fmla="+- 0 2254 2157"/>
                              <a:gd name="T39" fmla="*/ 2254 h 590"/>
                              <a:gd name="T40" fmla="+- 0 2394 2394"/>
                              <a:gd name="T41" fmla="*/ T40 w 590"/>
                              <a:gd name="T42" fmla="+- 0 2650 2157"/>
                              <a:gd name="T43" fmla="*/ 2650 h 590"/>
                              <a:gd name="T44" fmla="+- 0 2397 2394"/>
                              <a:gd name="T45" fmla="*/ T44 w 590"/>
                              <a:gd name="T46" fmla="+- 0 2663 2157"/>
                              <a:gd name="T47" fmla="*/ 2663 h 590"/>
                              <a:gd name="T48" fmla="+- 0 2410 2394"/>
                              <a:gd name="T49" fmla="*/ T48 w 590"/>
                              <a:gd name="T50" fmla="+- 0 2693 2157"/>
                              <a:gd name="T51" fmla="*/ 2693 h 590"/>
                              <a:gd name="T52" fmla="+- 0 2429 2394"/>
                              <a:gd name="T53" fmla="*/ T52 w 590"/>
                              <a:gd name="T54" fmla="+- 0 2717 2157"/>
                              <a:gd name="T55" fmla="*/ 2717 h 590"/>
                              <a:gd name="T56" fmla="+- 0 2454 2394"/>
                              <a:gd name="T57" fmla="*/ T56 w 590"/>
                              <a:gd name="T58" fmla="+- 0 2734 2157"/>
                              <a:gd name="T59" fmla="*/ 2734 h 590"/>
                              <a:gd name="T60" fmla="+- 0 2485 2394"/>
                              <a:gd name="T61" fmla="*/ T60 w 590"/>
                              <a:gd name="T62" fmla="+- 0 2744 2157"/>
                              <a:gd name="T63" fmla="*/ 2744 h 590"/>
                              <a:gd name="T64" fmla="+- 0 2487 2394"/>
                              <a:gd name="T65" fmla="*/ T64 w 590"/>
                              <a:gd name="T66" fmla="+- 0 2745 2157"/>
                              <a:gd name="T67" fmla="*/ 2745 h 590"/>
                              <a:gd name="T68" fmla="+- 0 2489 2394"/>
                              <a:gd name="T69" fmla="*/ T68 w 590"/>
                              <a:gd name="T70" fmla="+- 0 2746 2157"/>
                              <a:gd name="T71" fmla="*/ 2746 h 590"/>
                              <a:gd name="T72" fmla="+- 0 2491 2394"/>
                              <a:gd name="T73" fmla="*/ T72 w 590"/>
                              <a:gd name="T74" fmla="+- 0 2747 2157"/>
                              <a:gd name="T75" fmla="*/ 2747 h 590"/>
                              <a:gd name="T76" fmla="+- 0 2886 2394"/>
                              <a:gd name="T77" fmla="*/ T76 w 590"/>
                              <a:gd name="T78" fmla="+- 0 2747 2157"/>
                              <a:gd name="T79" fmla="*/ 2747 h 590"/>
                              <a:gd name="T80" fmla="+- 0 2900 2394"/>
                              <a:gd name="T81" fmla="*/ T80 w 590"/>
                              <a:gd name="T82" fmla="+- 0 2743 2157"/>
                              <a:gd name="T83" fmla="*/ 2743 h 590"/>
                              <a:gd name="T84" fmla="+- 0 2930 2394"/>
                              <a:gd name="T85" fmla="*/ T84 w 590"/>
                              <a:gd name="T86" fmla="+- 0 2730 2157"/>
                              <a:gd name="T87" fmla="*/ 2730 h 590"/>
                              <a:gd name="T88" fmla="+- 0 2954 2394"/>
                              <a:gd name="T89" fmla="*/ T88 w 590"/>
                              <a:gd name="T90" fmla="+- 0 2711 2157"/>
                              <a:gd name="T91" fmla="*/ 2711 h 590"/>
                              <a:gd name="T92" fmla="+- 0 2971 2394"/>
                              <a:gd name="T93" fmla="*/ T92 w 590"/>
                              <a:gd name="T94" fmla="+- 0 2687 2157"/>
                              <a:gd name="T95" fmla="*/ 2687 h 590"/>
                              <a:gd name="T96" fmla="+- 0 2981 2394"/>
                              <a:gd name="T97" fmla="*/ T96 w 590"/>
                              <a:gd name="T98" fmla="+- 0 2655 2157"/>
                              <a:gd name="T99" fmla="*/ 2655 h 590"/>
                              <a:gd name="T100" fmla="+- 0 2981 2394"/>
                              <a:gd name="T101" fmla="*/ T100 w 590"/>
                              <a:gd name="T102" fmla="+- 0 2653 2157"/>
                              <a:gd name="T103" fmla="*/ 2653 h 590"/>
                              <a:gd name="T104" fmla="+- 0 2983 2394"/>
                              <a:gd name="T105" fmla="*/ T104 w 590"/>
                              <a:gd name="T106" fmla="+- 0 2652 2157"/>
                              <a:gd name="T107" fmla="*/ 2652 h 590"/>
                              <a:gd name="T108" fmla="+- 0 2983 2394"/>
                              <a:gd name="T109" fmla="*/ T108 w 590"/>
                              <a:gd name="T110" fmla="+- 0 2650 2157"/>
                              <a:gd name="T111" fmla="*/ 2650 h 590"/>
                              <a:gd name="T112" fmla="+- 0 2983 2394"/>
                              <a:gd name="T113" fmla="*/ T112 w 590"/>
                              <a:gd name="T114" fmla="+- 0 2430 2157"/>
                              <a:gd name="T115" fmla="*/ 2430 h 590"/>
                              <a:gd name="T116" fmla="+- 0 2689 2394"/>
                              <a:gd name="T117" fmla="*/ T116 w 590"/>
                              <a:gd name="T118" fmla="+- 0 2430 2157"/>
                              <a:gd name="T119" fmla="*/ 2430 h 590"/>
                              <a:gd name="T120" fmla="+- 0 2580 2394"/>
                              <a:gd name="T121" fmla="*/ T120 w 590"/>
                              <a:gd name="T122" fmla="+- 0 2429 2157"/>
                              <a:gd name="T123" fmla="*/ 2429 h 590"/>
                              <a:gd name="T124" fmla="+- 0 2574 2394"/>
                              <a:gd name="T125" fmla="*/ T124 w 590"/>
                              <a:gd name="T126" fmla="+- 0 2428 2157"/>
                              <a:gd name="T127" fmla="*/ 2428 h 590"/>
                              <a:gd name="T128" fmla="+- 0 2550 2394"/>
                              <a:gd name="T129" fmla="*/ T128 w 590"/>
                              <a:gd name="T130" fmla="+- 0 2398 2157"/>
                              <a:gd name="T131" fmla="*/ 2398 h 590"/>
                              <a:gd name="T132" fmla="+- 0 2484 2394"/>
                              <a:gd name="T133" fmla="*/ T132 w 590"/>
                              <a:gd name="T134" fmla="+- 0 2316 2157"/>
                              <a:gd name="T135" fmla="*/ 2316 h 590"/>
                              <a:gd name="T136" fmla="+- 0 2533 2394"/>
                              <a:gd name="T137" fmla="*/ T136 w 590"/>
                              <a:gd name="T138" fmla="+- 0 2272 2157"/>
                              <a:gd name="T139" fmla="*/ 2272 h 590"/>
                              <a:gd name="T140" fmla="+- 0 2591 2394"/>
                              <a:gd name="T141" fmla="*/ T140 w 590"/>
                              <a:gd name="T142" fmla="+- 0 2242 2157"/>
                              <a:gd name="T143" fmla="*/ 2242 h 590"/>
                              <a:gd name="T144" fmla="+- 0 2655 2394"/>
                              <a:gd name="T145" fmla="*/ T144 w 590"/>
                              <a:gd name="T146" fmla="+- 0 2227 2157"/>
                              <a:gd name="T147" fmla="*/ 2227 h 590"/>
                              <a:gd name="T148" fmla="+- 0 2974 2394"/>
                              <a:gd name="T149" fmla="*/ T148 w 590"/>
                              <a:gd name="T150" fmla="+- 0 2227 2157"/>
                              <a:gd name="T151" fmla="*/ 2227 h 590"/>
                              <a:gd name="T152" fmla="+- 0 2967 2394"/>
                              <a:gd name="T153" fmla="*/ T152 w 590"/>
                              <a:gd name="T154" fmla="+- 0 2210 2157"/>
                              <a:gd name="T155" fmla="*/ 2210 h 590"/>
                              <a:gd name="T156" fmla="+- 0 2948 2394"/>
                              <a:gd name="T157" fmla="*/ T156 w 590"/>
                              <a:gd name="T158" fmla="+- 0 2187 2157"/>
                              <a:gd name="T159" fmla="*/ 2187 h 590"/>
                              <a:gd name="T160" fmla="+- 0 2923 2394"/>
                              <a:gd name="T161" fmla="*/ T160 w 590"/>
                              <a:gd name="T162" fmla="+- 0 2170 2157"/>
                              <a:gd name="T163" fmla="*/ 2170 h 590"/>
                              <a:gd name="T164" fmla="+- 0 2892 2394"/>
                              <a:gd name="T165" fmla="*/ T164 w 590"/>
                              <a:gd name="T166" fmla="+- 0 2159 2157"/>
                              <a:gd name="T167" fmla="*/ 2159 h 590"/>
                              <a:gd name="T168" fmla="+- 0 2890 2394"/>
                              <a:gd name="T169" fmla="*/ T168 w 590"/>
                              <a:gd name="T170" fmla="+- 0 2159 2157"/>
                              <a:gd name="T171" fmla="*/ 2159 h 590"/>
                              <a:gd name="T172" fmla="+- 0 2888 2394"/>
                              <a:gd name="T173" fmla="*/ T172 w 590"/>
                              <a:gd name="T174" fmla="+- 0 2158 2157"/>
                              <a:gd name="T175" fmla="*/ 2158 h 590"/>
                              <a:gd name="T176" fmla="+- 0 2886 2394"/>
                              <a:gd name="T177" fmla="*/ T176 w 590"/>
                              <a:gd name="T178" fmla="+- 0 2157 2157"/>
                              <a:gd name="T179" fmla="*/ 2157 h 590"/>
                              <a:gd name="T180" fmla="+- 0 2974 2394"/>
                              <a:gd name="T181" fmla="*/ T180 w 590"/>
                              <a:gd name="T182" fmla="+- 0 2227 2157"/>
                              <a:gd name="T183" fmla="*/ 2227 h 590"/>
                              <a:gd name="T184" fmla="+- 0 2721 2394"/>
                              <a:gd name="T185" fmla="*/ T184 w 590"/>
                              <a:gd name="T186" fmla="+- 0 2227 2157"/>
                              <a:gd name="T187" fmla="*/ 2227 h 590"/>
                              <a:gd name="T188" fmla="+- 0 2785 2394"/>
                              <a:gd name="T189" fmla="*/ T188 w 590"/>
                              <a:gd name="T190" fmla="+- 0 2242 2157"/>
                              <a:gd name="T191" fmla="*/ 2242 h 590"/>
                              <a:gd name="T192" fmla="+- 0 2844 2394"/>
                              <a:gd name="T193" fmla="*/ T192 w 590"/>
                              <a:gd name="T194" fmla="+- 0 2271 2157"/>
                              <a:gd name="T195" fmla="*/ 2271 h 590"/>
                              <a:gd name="T196" fmla="+- 0 2893 2394"/>
                              <a:gd name="T197" fmla="*/ T196 w 590"/>
                              <a:gd name="T198" fmla="+- 0 2316 2157"/>
                              <a:gd name="T199" fmla="*/ 2316 h 590"/>
                              <a:gd name="T200" fmla="+- 0 2841 2394"/>
                              <a:gd name="T201" fmla="*/ T200 w 590"/>
                              <a:gd name="T202" fmla="+- 0 2381 2157"/>
                              <a:gd name="T203" fmla="*/ 2381 h 590"/>
                              <a:gd name="T204" fmla="+- 0 2825 2394"/>
                              <a:gd name="T205" fmla="*/ T204 w 590"/>
                              <a:gd name="T206" fmla="+- 0 2402 2157"/>
                              <a:gd name="T207" fmla="*/ 2402 h 590"/>
                              <a:gd name="T208" fmla="+- 0 2816 2394"/>
                              <a:gd name="T209" fmla="*/ T208 w 590"/>
                              <a:gd name="T210" fmla="+- 0 2412 2157"/>
                              <a:gd name="T211" fmla="*/ 2412 h 590"/>
                              <a:gd name="T212" fmla="+- 0 2808 2394"/>
                              <a:gd name="T213" fmla="*/ T212 w 590"/>
                              <a:gd name="T214" fmla="+- 0 2422 2157"/>
                              <a:gd name="T215" fmla="*/ 2422 h 590"/>
                              <a:gd name="T216" fmla="+- 0 2804 2394"/>
                              <a:gd name="T217" fmla="*/ T216 w 590"/>
                              <a:gd name="T218" fmla="+- 0 2426 2157"/>
                              <a:gd name="T219" fmla="*/ 2426 h 590"/>
                              <a:gd name="T220" fmla="+- 0 2798 2394"/>
                              <a:gd name="T221" fmla="*/ T220 w 590"/>
                              <a:gd name="T222" fmla="+- 0 2429 2157"/>
                              <a:gd name="T223" fmla="*/ 2429 h 590"/>
                              <a:gd name="T224" fmla="+- 0 2689 2394"/>
                              <a:gd name="T225" fmla="*/ T224 w 590"/>
                              <a:gd name="T226" fmla="+- 0 2430 2157"/>
                              <a:gd name="T227" fmla="*/ 2430 h 590"/>
                              <a:gd name="T228" fmla="+- 0 2983 2394"/>
                              <a:gd name="T229" fmla="*/ T228 w 590"/>
                              <a:gd name="T230" fmla="+- 0 2430 2157"/>
                              <a:gd name="T231" fmla="*/ 2430 h 590"/>
                              <a:gd name="T232" fmla="+- 0 2983 2394"/>
                              <a:gd name="T233" fmla="*/ T232 w 590"/>
                              <a:gd name="T234" fmla="+- 0 2254 2157"/>
                              <a:gd name="T235" fmla="*/ 2254 h 590"/>
                              <a:gd name="T236" fmla="+- 0 2980 2394"/>
                              <a:gd name="T237" fmla="*/ T236 w 590"/>
                              <a:gd name="T238" fmla="+- 0 2241 2157"/>
                              <a:gd name="T239" fmla="*/ 2241 h 590"/>
                              <a:gd name="T240" fmla="+- 0 2974 2394"/>
                              <a:gd name="T241" fmla="*/ T240 w 590"/>
                              <a:gd name="T242" fmla="+- 0 2227 2157"/>
                              <a:gd name="T243" fmla="*/ 2227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90" h="590">
                                <a:moveTo>
                                  <a:pt x="492" y="0"/>
                                </a:moveTo>
                                <a:lnTo>
                                  <a:pt x="97" y="0"/>
                                </a:lnTo>
                                <a:lnTo>
                                  <a:pt x="83" y="4"/>
                                </a:lnTo>
                                <a:lnTo>
                                  <a:pt x="53" y="17"/>
                                </a:lnTo>
                                <a:lnTo>
                                  <a:pt x="29" y="35"/>
                                </a:lnTo>
                                <a:lnTo>
                                  <a:pt x="12" y="60"/>
                                </a:lnTo>
                                <a:lnTo>
                                  <a:pt x="2" y="91"/>
                                </a:lnTo>
                                <a:lnTo>
                                  <a:pt x="2" y="93"/>
                                </a:lnTo>
                                <a:lnTo>
                                  <a:pt x="0" y="95"/>
                                </a:lnTo>
                                <a:lnTo>
                                  <a:pt x="0" y="97"/>
                                </a:lnTo>
                                <a:lnTo>
                                  <a:pt x="0" y="493"/>
                                </a:lnTo>
                                <a:lnTo>
                                  <a:pt x="3" y="506"/>
                                </a:lnTo>
                                <a:lnTo>
                                  <a:pt x="16" y="536"/>
                                </a:lnTo>
                                <a:lnTo>
                                  <a:pt x="35" y="560"/>
                                </a:lnTo>
                                <a:lnTo>
                                  <a:pt x="60" y="577"/>
                                </a:lnTo>
                                <a:lnTo>
                                  <a:pt x="91" y="587"/>
                                </a:lnTo>
                                <a:lnTo>
                                  <a:pt x="93" y="588"/>
                                </a:lnTo>
                                <a:lnTo>
                                  <a:pt x="95" y="589"/>
                                </a:lnTo>
                                <a:lnTo>
                                  <a:pt x="97" y="590"/>
                                </a:lnTo>
                                <a:lnTo>
                                  <a:pt x="492" y="590"/>
                                </a:lnTo>
                                <a:lnTo>
                                  <a:pt x="506" y="586"/>
                                </a:lnTo>
                                <a:lnTo>
                                  <a:pt x="536" y="573"/>
                                </a:lnTo>
                                <a:lnTo>
                                  <a:pt x="560" y="554"/>
                                </a:lnTo>
                                <a:lnTo>
                                  <a:pt x="577" y="530"/>
                                </a:lnTo>
                                <a:lnTo>
                                  <a:pt x="587" y="498"/>
                                </a:lnTo>
                                <a:lnTo>
                                  <a:pt x="587" y="496"/>
                                </a:lnTo>
                                <a:lnTo>
                                  <a:pt x="589" y="495"/>
                                </a:lnTo>
                                <a:lnTo>
                                  <a:pt x="589" y="493"/>
                                </a:lnTo>
                                <a:lnTo>
                                  <a:pt x="589" y="273"/>
                                </a:lnTo>
                                <a:lnTo>
                                  <a:pt x="295" y="273"/>
                                </a:lnTo>
                                <a:lnTo>
                                  <a:pt x="186" y="272"/>
                                </a:lnTo>
                                <a:lnTo>
                                  <a:pt x="180" y="271"/>
                                </a:lnTo>
                                <a:lnTo>
                                  <a:pt x="156" y="241"/>
                                </a:lnTo>
                                <a:lnTo>
                                  <a:pt x="90" y="159"/>
                                </a:lnTo>
                                <a:lnTo>
                                  <a:pt x="139" y="115"/>
                                </a:lnTo>
                                <a:lnTo>
                                  <a:pt x="197" y="85"/>
                                </a:lnTo>
                                <a:lnTo>
                                  <a:pt x="261" y="70"/>
                                </a:lnTo>
                                <a:lnTo>
                                  <a:pt x="580" y="70"/>
                                </a:lnTo>
                                <a:lnTo>
                                  <a:pt x="573" y="53"/>
                                </a:lnTo>
                                <a:lnTo>
                                  <a:pt x="554" y="30"/>
                                </a:lnTo>
                                <a:lnTo>
                                  <a:pt x="529" y="13"/>
                                </a:lnTo>
                                <a:lnTo>
                                  <a:pt x="498" y="2"/>
                                </a:lnTo>
                                <a:lnTo>
                                  <a:pt x="496" y="2"/>
                                </a:lnTo>
                                <a:lnTo>
                                  <a:pt x="494" y="1"/>
                                </a:lnTo>
                                <a:lnTo>
                                  <a:pt x="492" y="0"/>
                                </a:lnTo>
                                <a:close/>
                                <a:moveTo>
                                  <a:pt x="580" y="70"/>
                                </a:moveTo>
                                <a:lnTo>
                                  <a:pt x="327" y="70"/>
                                </a:lnTo>
                                <a:lnTo>
                                  <a:pt x="391" y="85"/>
                                </a:lnTo>
                                <a:lnTo>
                                  <a:pt x="450" y="114"/>
                                </a:lnTo>
                                <a:lnTo>
                                  <a:pt x="499" y="159"/>
                                </a:lnTo>
                                <a:lnTo>
                                  <a:pt x="447" y="224"/>
                                </a:lnTo>
                                <a:lnTo>
                                  <a:pt x="431" y="245"/>
                                </a:lnTo>
                                <a:lnTo>
                                  <a:pt x="422" y="255"/>
                                </a:lnTo>
                                <a:lnTo>
                                  <a:pt x="414" y="265"/>
                                </a:lnTo>
                                <a:lnTo>
                                  <a:pt x="410" y="269"/>
                                </a:lnTo>
                                <a:lnTo>
                                  <a:pt x="404" y="272"/>
                                </a:lnTo>
                                <a:lnTo>
                                  <a:pt x="295" y="273"/>
                                </a:lnTo>
                                <a:lnTo>
                                  <a:pt x="589" y="273"/>
                                </a:lnTo>
                                <a:lnTo>
                                  <a:pt x="589" y="97"/>
                                </a:lnTo>
                                <a:lnTo>
                                  <a:pt x="586" y="84"/>
                                </a:lnTo>
                                <a:lnTo>
                                  <a:pt x="580" y="70"/>
                                </a:lnTo>
                                <a:close/>
                              </a:path>
                            </a:pathLst>
                          </a:custGeom>
                          <a:solidFill>
                            <a:srgbClr val="F37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docshape188"/>
                        <wps:cNvSpPr>
                          <a:spLocks/>
                        </wps:cNvSpPr>
                        <wps:spPr bwMode="auto">
                          <a:xfrm>
                            <a:off x="2484" y="2226"/>
                            <a:ext cx="409" cy="203"/>
                          </a:xfrm>
                          <a:custGeom>
                            <a:avLst/>
                            <a:gdLst>
                              <a:gd name="T0" fmla="+- 0 2721 2484"/>
                              <a:gd name="T1" fmla="*/ T0 w 409"/>
                              <a:gd name="T2" fmla="+- 0 2227 2227"/>
                              <a:gd name="T3" fmla="*/ 2227 h 203"/>
                              <a:gd name="T4" fmla="+- 0 2655 2484"/>
                              <a:gd name="T5" fmla="*/ T4 w 409"/>
                              <a:gd name="T6" fmla="+- 0 2227 2227"/>
                              <a:gd name="T7" fmla="*/ 2227 h 203"/>
                              <a:gd name="T8" fmla="+- 0 2591 2484"/>
                              <a:gd name="T9" fmla="*/ T8 w 409"/>
                              <a:gd name="T10" fmla="+- 0 2242 2227"/>
                              <a:gd name="T11" fmla="*/ 2242 h 203"/>
                              <a:gd name="T12" fmla="+- 0 2533 2484"/>
                              <a:gd name="T13" fmla="*/ T12 w 409"/>
                              <a:gd name="T14" fmla="+- 0 2272 2227"/>
                              <a:gd name="T15" fmla="*/ 2272 h 203"/>
                              <a:gd name="T16" fmla="+- 0 2484 2484"/>
                              <a:gd name="T17" fmla="*/ T16 w 409"/>
                              <a:gd name="T18" fmla="+- 0 2316 2227"/>
                              <a:gd name="T19" fmla="*/ 2316 h 203"/>
                              <a:gd name="T20" fmla="+- 0 2550 2484"/>
                              <a:gd name="T21" fmla="*/ T20 w 409"/>
                              <a:gd name="T22" fmla="+- 0 2398 2227"/>
                              <a:gd name="T23" fmla="*/ 2398 h 203"/>
                              <a:gd name="T24" fmla="+- 0 2574 2484"/>
                              <a:gd name="T25" fmla="*/ T24 w 409"/>
                              <a:gd name="T26" fmla="+- 0 2428 2227"/>
                              <a:gd name="T27" fmla="*/ 2428 h 203"/>
                              <a:gd name="T28" fmla="+- 0 2580 2484"/>
                              <a:gd name="T29" fmla="*/ T28 w 409"/>
                              <a:gd name="T30" fmla="+- 0 2429 2227"/>
                              <a:gd name="T31" fmla="*/ 2429 h 203"/>
                              <a:gd name="T32" fmla="+- 0 2689 2484"/>
                              <a:gd name="T33" fmla="*/ T32 w 409"/>
                              <a:gd name="T34" fmla="+- 0 2430 2227"/>
                              <a:gd name="T35" fmla="*/ 2430 h 203"/>
                              <a:gd name="T36" fmla="+- 0 2798 2484"/>
                              <a:gd name="T37" fmla="*/ T36 w 409"/>
                              <a:gd name="T38" fmla="+- 0 2429 2227"/>
                              <a:gd name="T39" fmla="*/ 2429 h 203"/>
                              <a:gd name="T40" fmla="+- 0 2804 2484"/>
                              <a:gd name="T41" fmla="*/ T40 w 409"/>
                              <a:gd name="T42" fmla="+- 0 2426 2227"/>
                              <a:gd name="T43" fmla="*/ 2426 h 203"/>
                              <a:gd name="T44" fmla="+- 0 2808 2484"/>
                              <a:gd name="T45" fmla="*/ T44 w 409"/>
                              <a:gd name="T46" fmla="+- 0 2422 2227"/>
                              <a:gd name="T47" fmla="*/ 2422 h 203"/>
                              <a:gd name="T48" fmla="+- 0 2816 2484"/>
                              <a:gd name="T49" fmla="*/ T48 w 409"/>
                              <a:gd name="T50" fmla="+- 0 2412 2227"/>
                              <a:gd name="T51" fmla="*/ 2412 h 203"/>
                              <a:gd name="T52" fmla="+- 0 2822 2484"/>
                              <a:gd name="T53" fmla="*/ T52 w 409"/>
                              <a:gd name="T54" fmla="+- 0 2406 2227"/>
                              <a:gd name="T55" fmla="*/ 2406 h 203"/>
                              <a:gd name="T56" fmla="+- 0 2690 2484"/>
                              <a:gd name="T57" fmla="*/ T56 w 409"/>
                              <a:gd name="T58" fmla="+- 0 2406 2227"/>
                              <a:gd name="T59" fmla="*/ 2406 h 203"/>
                              <a:gd name="T60" fmla="+- 0 2774 2484"/>
                              <a:gd name="T61" fmla="*/ T60 w 409"/>
                              <a:gd name="T62" fmla="+- 0 2278 2227"/>
                              <a:gd name="T63" fmla="*/ 2278 h 203"/>
                              <a:gd name="T64" fmla="+- 0 2851 2484"/>
                              <a:gd name="T65" fmla="*/ T64 w 409"/>
                              <a:gd name="T66" fmla="+- 0 2278 2227"/>
                              <a:gd name="T67" fmla="*/ 2278 h 203"/>
                              <a:gd name="T68" fmla="+- 0 2844 2484"/>
                              <a:gd name="T69" fmla="*/ T68 w 409"/>
                              <a:gd name="T70" fmla="+- 0 2271 2227"/>
                              <a:gd name="T71" fmla="*/ 2271 h 203"/>
                              <a:gd name="T72" fmla="+- 0 2785 2484"/>
                              <a:gd name="T73" fmla="*/ T72 w 409"/>
                              <a:gd name="T74" fmla="+- 0 2242 2227"/>
                              <a:gd name="T75" fmla="*/ 2242 h 203"/>
                              <a:gd name="T76" fmla="+- 0 2721 2484"/>
                              <a:gd name="T77" fmla="*/ T76 w 409"/>
                              <a:gd name="T78" fmla="+- 0 2227 2227"/>
                              <a:gd name="T79" fmla="*/ 2227 h 203"/>
                              <a:gd name="T80" fmla="+- 0 2851 2484"/>
                              <a:gd name="T81" fmla="*/ T80 w 409"/>
                              <a:gd name="T82" fmla="+- 0 2278 2227"/>
                              <a:gd name="T83" fmla="*/ 2278 h 203"/>
                              <a:gd name="T84" fmla="+- 0 2774 2484"/>
                              <a:gd name="T85" fmla="*/ T84 w 409"/>
                              <a:gd name="T86" fmla="+- 0 2278 2227"/>
                              <a:gd name="T87" fmla="*/ 2278 h 203"/>
                              <a:gd name="T88" fmla="+- 0 2776 2484"/>
                              <a:gd name="T89" fmla="*/ T88 w 409"/>
                              <a:gd name="T90" fmla="+- 0 2279 2227"/>
                              <a:gd name="T91" fmla="*/ 2279 h 203"/>
                              <a:gd name="T92" fmla="+- 0 2747 2484"/>
                              <a:gd name="T93" fmla="*/ T92 w 409"/>
                              <a:gd name="T94" fmla="+- 0 2406 2227"/>
                              <a:gd name="T95" fmla="*/ 2406 h 203"/>
                              <a:gd name="T96" fmla="+- 0 2822 2484"/>
                              <a:gd name="T97" fmla="*/ T96 w 409"/>
                              <a:gd name="T98" fmla="+- 0 2406 2227"/>
                              <a:gd name="T99" fmla="*/ 2406 h 203"/>
                              <a:gd name="T100" fmla="+- 0 2825 2484"/>
                              <a:gd name="T101" fmla="*/ T100 w 409"/>
                              <a:gd name="T102" fmla="+- 0 2402 2227"/>
                              <a:gd name="T103" fmla="*/ 2402 h 203"/>
                              <a:gd name="T104" fmla="+- 0 2841 2484"/>
                              <a:gd name="T105" fmla="*/ T104 w 409"/>
                              <a:gd name="T106" fmla="+- 0 2381 2227"/>
                              <a:gd name="T107" fmla="*/ 2381 h 203"/>
                              <a:gd name="T108" fmla="+- 0 2893 2484"/>
                              <a:gd name="T109" fmla="*/ T108 w 409"/>
                              <a:gd name="T110" fmla="+- 0 2316 2227"/>
                              <a:gd name="T111" fmla="*/ 2316 h 203"/>
                              <a:gd name="T112" fmla="+- 0 2851 2484"/>
                              <a:gd name="T113" fmla="*/ T112 w 409"/>
                              <a:gd name="T114" fmla="+- 0 2278 2227"/>
                              <a:gd name="T115" fmla="*/ 2278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09" h="203">
                                <a:moveTo>
                                  <a:pt x="237" y="0"/>
                                </a:moveTo>
                                <a:lnTo>
                                  <a:pt x="171" y="0"/>
                                </a:lnTo>
                                <a:lnTo>
                                  <a:pt x="107" y="15"/>
                                </a:lnTo>
                                <a:lnTo>
                                  <a:pt x="49" y="45"/>
                                </a:lnTo>
                                <a:lnTo>
                                  <a:pt x="0" y="89"/>
                                </a:lnTo>
                                <a:lnTo>
                                  <a:pt x="66" y="171"/>
                                </a:lnTo>
                                <a:lnTo>
                                  <a:pt x="90" y="201"/>
                                </a:lnTo>
                                <a:lnTo>
                                  <a:pt x="96" y="202"/>
                                </a:lnTo>
                                <a:lnTo>
                                  <a:pt x="205" y="203"/>
                                </a:lnTo>
                                <a:lnTo>
                                  <a:pt x="314" y="202"/>
                                </a:lnTo>
                                <a:lnTo>
                                  <a:pt x="320" y="199"/>
                                </a:lnTo>
                                <a:lnTo>
                                  <a:pt x="324" y="195"/>
                                </a:lnTo>
                                <a:lnTo>
                                  <a:pt x="332" y="185"/>
                                </a:lnTo>
                                <a:lnTo>
                                  <a:pt x="338" y="179"/>
                                </a:lnTo>
                                <a:lnTo>
                                  <a:pt x="206" y="179"/>
                                </a:lnTo>
                                <a:lnTo>
                                  <a:pt x="290" y="51"/>
                                </a:lnTo>
                                <a:lnTo>
                                  <a:pt x="367" y="51"/>
                                </a:lnTo>
                                <a:lnTo>
                                  <a:pt x="360" y="44"/>
                                </a:lnTo>
                                <a:lnTo>
                                  <a:pt x="301" y="15"/>
                                </a:lnTo>
                                <a:lnTo>
                                  <a:pt x="237" y="0"/>
                                </a:lnTo>
                                <a:close/>
                                <a:moveTo>
                                  <a:pt x="367" y="51"/>
                                </a:moveTo>
                                <a:lnTo>
                                  <a:pt x="290" y="51"/>
                                </a:lnTo>
                                <a:lnTo>
                                  <a:pt x="292" y="52"/>
                                </a:lnTo>
                                <a:lnTo>
                                  <a:pt x="263" y="179"/>
                                </a:lnTo>
                                <a:lnTo>
                                  <a:pt x="338" y="179"/>
                                </a:lnTo>
                                <a:lnTo>
                                  <a:pt x="341" y="175"/>
                                </a:lnTo>
                                <a:lnTo>
                                  <a:pt x="357" y="154"/>
                                </a:lnTo>
                                <a:lnTo>
                                  <a:pt x="409" y="89"/>
                                </a:lnTo>
                                <a:lnTo>
                                  <a:pt x="367"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docshape189"/>
                        <wps:cNvSpPr>
                          <a:spLocks/>
                        </wps:cNvSpPr>
                        <wps:spPr bwMode="auto">
                          <a:xfrm>
                            <a:off x="2690" y="2277"/>
                            <a:ext cx="87" cy="128"/>
                          </a:xfrm>
                          <a:custGeom>
                            <a:avLst/>
                            <a:gdLst>
                              <a:gd name="T0" fmla="+- 0 2774 2690"/>
                              <a:gd name="T1" fmla="*/ T0 w 87"/>
                              <a:gd name="T2" fmla="+- 0 2278 2278"/>
                              <a:gd name="T3" fmla="*/ 2278 h 128"/>
                              <a:gd name="T4" fmla="+- 0 2690 2690"/>
                              <a:gd name="T5" fmla="*/ T4 w 87"/>
                              <a:gd name="T6" fmla="+- 0 2406 2278"/>
                              <a:gd name="T7" fmla="*/ 2406 h 128"/>
                              <a:gd name="T8" fmla="+- 0 2747 2690"/>
                              <a:gd name="T9" fmla="*/ T8 w 87"/>
                              <a:gd name="T10" fmla="+- 0 2406 2278"/>
                              <a:gd name="T11" fmla="*/ 2406 h 128"/>
                              <a:gd name="T12" fmla="+- 0 2776 2690"/>
                              <a:gd name="T13" fmla="*/ T12 w 87"/>
                              <a:gd name="T14" fmla="+- 0 2279 2278"/>
                              <a:gd name="T15" fmla="*/ 2279 h 128"/>
                              <a:gd name="T16" fmla="+- 0 2774 2690"/>
                              <a:gd name="T17" fmla="*/ T16 w 87"/>
                              <a:gd name="T18" fmla="+- 0 2278 2278"/>
                              <a:gd name="T19" fmla="*/ 2278 h 128"/>
                            </a:gdLst>
                            <a:ahLst/>
                            <a:cxnLst>
                              <a:cxn ang="0">
                                <a:pos x="T1" y="T3"/>
                              </a:cxn>
                              <a:cxn ang="0">
                                <a:pos x="T5" y="T7"/>
                              </a:cxn>
                              <a:cxn ang="0">
                                <a:pos x="T9" y="T11"/>
                              </a:cxn>
                              <a:cxn ang="0">
                                <a:pos x="T13" y="T15"/>
                              </a:cxn>
                              <a:cxn ang="0">
                                <a:pos x="T17" y="T19"/>
                              </a:cxn>
                            </a:cxnLst>
                            <a:rect l="0" t="0" r="r" b="b"/>
                            <a:pathLst>
                              <a:path w="87" h="128">
                                <a:moveTo>
                                  <a:pt x="84" y="0"/>
                                </a:moveTo>
                                <a:lnTo>
                                  <a:pt x="0" y="128"/>
                                </a:lnTo>
                                <a:lnTo>
                                  <a:pt x="57" y="128"/>
                                </a:lnTo>
                                <a:lnTo>
                                  <a:pt x="86" y="1"/>
                                </a:lnTo>
                                <a:lnTo>
                                  <a:pt x="84" y="0"/>
                                </a:lnTo>
                                <a:close/>
                              </a:path>
                            </a:pathLst>
                          </a:custGeom>
                          <a:solidFill>
                            <a:srgbClr val="F37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E2F01" id="Group 1727" o:spid="_x0000_s1026" alt="&quot;&quot;" style="position:absolute;margin-left:119.7pt;margin-top:107.85pt;width:29.5pt;height:29.5pt;z-index:-251291648;mso-position-horizontal-relative:page" coordorigin="2394,2157"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">
                <v:shape id="docshape187" o:spid="_x0000_s1027" style="position:absolute;left:2393;top:2156;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" path="m492,l97,,83,4,53,17,29,35,12,60,2,91r,2l,95r,2l,493r3,13l16,536r19,24l60,577r31,10l93,588r2,1l97,590r395,l506,586r30,-13l560,554r17,-24l587,498r,-2l589,495r,-2l589,273r-294,l186,272r-6,-1l156,241,90,159r49,-44l197,85,261,70r319,l573,53,554,30,529,13,498,2r-2,l494,1,492,xm580,70r-253,l391,85r59,29l499,159r-52,65l431,245r-9,10l414,265r-4,4l404,272r-109,1l589,273r,-176l586,84,580,70xe" fillcolor="#f37973" stroked="f">
                  <v:path arrowok="t" o:connecttype="custom" o:connectlocs="492,2157;97,2157;83,2161;53,2174;29,2192;12,2217;2,2248;2,2250;0,2252;0,2254;0,2650;3,2663;16,2693;35,2717;60,2734;91,2744;93,2745;95,2746;97,2747;492,2747;506,2743;536,2730;560,2711;577,2687;587,2655;587,2653;589,2652;589,2650;589,2430;295,2430;186,2429;180,2428;156,2398;90,2316;139,2272;197,2242;261,2227;580,2227;573,2210;554,2187;529,2170;498,2159;496,2159;494,2158;492,2157;580,2227;327,2227;391,2242;450,2271;499,2316;447,2381;431,2402;422,2412;414,2422;410,2426;404,2429;295,2430;589,2430;589,2254;586,2241;580,2227" o:connectangles="0,0,0,0,0,0,0,0,0,0,0,0,0,0,0,0,0,0,0,0,0,0,0,0,0,0,0,0,0,0,0,0,0,0,0,0,0,0,0,0,0,0,0,0,0,0,0,0,0,0,0,0,0,0,0,0,0,0,0,0,0"/>
                </v:shape>
                <v:shape id="docshape188" o:spid="_x0000_s1028" style="position:absolute;left:2484;top:2226;width:409;height:203;visibility:visible;mso-wrap-style:square;v-text-anchor:top" coordsize="40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" path="m237,l171,,107,15,49,45,,89r66,82l90,201r6,1l205,203r109,-1l320,199r4,-4l332,185r6,-6l206,179,290,51r77,l360,44,301,15,237,xm367,51r-77,l292,52,263,179r75,l341,175r16,-21l409,89,367,51xe" stroked="f">
                  <v:path arrowok="t" o:connecttype="custom" o:connectlocs="237,2227;171,2227;107,2242;49,2272;0,2316;66,2398;90,2428;96,2429;205,2430;314,2429;320,2426;324,2422;332,2412;338,2406;206,2406;290,2278;367,2278;360,2271;301,2242;237,2227;367,2278;290,2278;292,2279;263,2406;338,2406;341,2402;357,2381;409,2316;367,2278" o:connectangles="0,0,0,0,0,0,0,0,0,0,0,0,0,0,0,0,0,0,0,0,0,0,0,0,0,0,0,0,0"/>
                </v:shape>
                <v:shape id="docshape189" o:spid="_x0000_s1029" style="position:absolute;left:2690;top:2277;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" path="m84,l,128r57,l86,1,84,xe" fillcolor="#f37973" stroked="f">
                  <v:path arrowok="t" o:connecttype="custom" o:connectlocs="84,2278;0,2406;57,2406;86,2279;84,2278" o:connectangles="0,0,0,0,0"/>
                </v:shape>
                <w10:wrap anchorx="page"/>
              </v:group>
            </w:pict>
          </mc:Fallback>
        </mc:AlternateContent>
      </w:r>
      <w:r w:rsidR="00EF27EC" w:rsidRPr="00C000B2">
        <w:t>: Percentage of health loss attributable to leading modifiable risk factors, 2017</w:t>
      </w:r>
      <w:r w:rsidR="00EF27EC" w:rsidRPr="00686A31">
        <w:rPr>
          <w:vertAlign w:val="superscript"/>
        </w:rPr>
        <w:t>21</w:t>
      </w:r>
      <w:bookmarkEnd w:id="35"/>
    </w:p>
    <w:p w14:paraId="47419364" w14:textId="77777777" w:rsidR="000A0B2F" w:rsidRPr="000A0B2F" w:rsidRDefault="000A0B2F" w:rsidP="000A0B2F">
      <w:r>
        <w:rPr>
          <w:noProof/>
          <w:lang w:eastAsia="en-NZ"/>
        </w:rPr>
        <w:drawing>
          <wp:inline distT="0" distB="0" distL="0" distR="0" wp14:anchorId="7953D3D4" wp14:editId="3645AFA4">
            <wp:extent cx="5130165" cy="2269111"/>
            <wp:effectExtent l="0" t="0" r="0" b="0"/>
            <wp:docPr id="1968" name="Picture 1968" descr="Tobacco use: 8.6% of total health loss; High body mass index: 8.2% of total health loss; Alcohol use; 5.3% of total health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Picture 1968" descr="Tobacco use: 8.6% of total health loss; High body mass index: 8.2% of total health loss; Alcohol use; 5.3% of total health loss."/>
                    <pic:cNvPicPr/>
                  </pic:nvPicPr>
                  <pic:blipFill>
                    <a:blip r:embed="rId30"/>
                    <a:stretch>
                      <a:fillRect/>
                    </a:stretch>
                  </pic:blipFill>
                  <pic:spPr>
                    <a:xfrm>
                      <a:off x="0" y="0"/>
                      <a:ext cx="5130165" cy="2269111"/>
                    </a:xfrm>
                    <a:prstGeom prst="rect">
                      <a:avLst/>
                    </a:prstGeom>
                  </pic:spPr>
                </pic:pic>
              </a:graphicData>
            </a:graphic>
          </wp:inline>
        </w:drawing>
      </w:r>
    </w:p>
    <w:p w14:paraId="39C0512C" w14:textId="77777777" w:rsidR="000A0B2F" w:rsidRDefault="000A0B2F" w:rsidP="000A0B2F"/>
    <w:p w14:paraId="21F6E9C4" w14:textId="77777777" w:rsidR="00EF27EC" w:rsidRPr="00C000B2" w:rsidRDefault="00EF27EC" w:rsidP="000A0B2F">
      <w:r w:rsidRPr="00C000B2">
        <w:rPr>
          <w:noProof/>
          <w:lang w:eastAsia="en-NZ"/>
        </w:rPr>
        <mc:AlternateContent>
          <mc:Choice Requires="wps">
            <w:drawing>
              <wp:anchor distT="0" distB="0" distL="114300" distR="114300" simplePos="0" relativeHeight="252021760" behindDoc="1" locked="0" layoutInCell="1" allowOverlap="1" wp14:anchorId="33D7DEF4" wp14:editId="79328384">
                <wp:simplePos x="0" y="0"/>
                <wp:positionH relativeFrom="page">
                  <wp:posOffset>2593340</wp:posOffset>
                </wp:positionH>
                <wp:positionV relativeFrom="paragraph">
                  <wp:posOffset>-177165</wp:posOffset>
                </wp:positionV>
                <wp:extent cx="12700" cy="12700"/>
                <wp:effectExtent l="2540" t="3810" r="3810" b="2540"/>
                <wp:wrapNone/>
                <wp:docPr id="1712" name="Freeform 1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4084 4084"/>
                            <a:gd name="T1" fmla="*/ T0 w 20"/>
                            <a:gd name="T2" fmla="+- 0 -269 -279"/>
                            <a:gd name="T3" fmla="*/ -269 h 20"/>
                            <a:gd name="T4" fmla="+- 0 4087 4084"/>
                            <a:gd name="T5" fmla="*/ T4 w 20"/>
                            <a:gd name="T6" fmla="+- 0 -276 -279"/>
                            <a:gd name="T7" fmla="*/ -276 h 20"/>
                            <a:gd name="T8" fmla="+- 0 4094 4084"/>
                            <a:gd name="T9" fmla="*/ T8 w 20"/>
                            <a:gd name="T10" fmla="+- 0 -279 -279"/>
                            <a:gd name="T11" fmla="*/ -279 h 20"/>
                            <a:gd name="T12" fmla="+- 0 4102 4084"/>
                            <a:gd name="T13" fmla="*/ T12 w 20"/>
                            <a:gd name="T14" fmla="+- 0 -276 -279"/>
                            <a:gd name="T15" fmla="*/ -276 h 20"/>
                            <a:gd name="T16" fmla="+- 0 4104 4084"/>
                            <a:gd name="T17" fmla="*/ T16 w 20"/>
                            <a:gd name="T18" fmla="+- 0 -269 -279"/>
                            <a:gd name="T19" fmla="*/ -269 h 20"/>
                            <a:gd name="T20" fmla="+- 0 4102 4084"/>
                            <a:gd name="T21" fmla="*/ T20 w 20"/>
                            <a:gd name="T22" fmla="+- 0 -262 -279"/>
                            <a:gd name="T23" fmla="*/ -262 h 20"/>
                            <a:gd name="T24" fmla="+- 0 4094 4084"/>
                            <a:gd name="T25" fmla="*/ T24 w 20"/>
                            <a:gd name="T26" fmla="+- 0 -259 -279"/>
                            <a:gd name="T27" fmla="*/ -259 h 20"/>
                            <a:gd name="T28" fmla="+- 0 4087 4084"/>
                            <a:gd name="T29" fmla="*/ T28 w 20"/>
                            <a:gd name="T30" fmla="+- 0 -262 -279"/>
                            <a:gd name="T31" fmla="*/ -262 h 20"/>
                            <a:gd name="T32" fmla="+- 0 4084 4084"/>
                            <a:gd name="T33" fmla="*/ T32 w 20"/>
                            <a:gd name="T34" fmla="+- 0 -269 -279"/>
                            <a:gd name="T35" fmla="*/ -26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8" y="3"/>
                              </a:lnTo>
                              <a:lnTo>
                                <a:pt x="20" y="10"/>
                              </a:lnTo>
                              <a:lnTo>
                                <a:pt x="18" y="17"/>
                              </a:lnTo>
                              <a:lnTo>
                                <a:pt x="10" y="20"/>
                              </a:lnTo>
                              <a:lnTo>
                                <a:pt x="3" y="17"/>
                              </a:lnTo>
                              <a:lnTo>
                                <a:pt x="0" y="10"/>
                              </a:lnTo>
                              <a:close/>
                            </a:path>
                          </a:pathLst>
                        </a:custGeom>
                        <a:solidFill>
                          <a:srgbClr val="F37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E819F" id="Freeform 1712" o:spid="_x0000_s1026" alt="&quot;&quot;" style="position:absolute;margin-left:204.2pt;margin-top:-13.95pt;width:1pt;height:1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" path="m,10l3,3,10,r8,3l20,10r-2,7l10,20,3,17,,10xe" fillcolor="#f37973" stroked="f">
                <v:path arrowok="t" o:connecttype="custom" o:connectlocs="0,-170815;1905,-175260;6350,-177165;11430,-175260;12700,-170815;11430,-166370;6350,-164465;1905,-166370;0,-170815" o:connectangles="0,0,0,0,0,0,0,0,0"/>
                <w10:wrap anchorx="page"/>
              </v:shape>
            </w:pict>
          </mc:Fallback>
        </mc:AlternateContent>
      </w:r>
      <w:r w:rsidRPr="00C000B2">
        <w:rPr>
          <w:noProof/>
          <w:lang w:eastAsia="en-NZ"/>
        </w:rPr>
        <mc:AlternateContent>
          <mc:Choice Requires="wps">
            <w:drawing>
              <wp:anchor distT="0" distB="0" distL="114300" distR="114300" simplePos="0" relativeHeight="252022784" behindDoc="1" locked="0" layoutInCell="1" allowOverlap="1" wp14:anchorId="0301E099" wp14:editId="21EC4D06">
                <wp:simplePos x="0" y="0"/>
                <wp:positionH relativeFrom="page">
                  <wp:posOffset>3932555</wp:posOffset>
                </wp:positionH>
                <wp:positionV relativeFrom="paragraph">
                  <wp:posOffset>-177165</wp:posOffset>
                </wp:positionV>
                <wp:extent cx="12700" cy="12700"/>
                <wp:effectExtent l="8255" t="3810" r="7620" b="2540"/>
                <wp:wrapNone/>
                <wp:docPr id="1711" name="Freeform 1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3 6193"/>
                            <a:gd name="T1" fmla="*/ T0 w 20"/>
                            <a:gd name="T2" fmla="+- 0 -269 -279"/>
                            <a:gd name="T3" fmla="*/ -269 h 20"/>
                            <a:gd name="T4" fmla="+- 0 6196 6193"/>
                            <a:gd name="T5" fmla="*/ T4 w 20"/>
                            <a:gd name="T6" fmla="+- 0 -276 -279"/>
                            <a:gd name="T7" fmla="*/ -276 h 20"/>
                            <a:gd name="T8" fmla="+- 0 6203 6193"/>
                            <a:gd name="T9" fmla="*/ T8 w 20"/>
                            <a:gd name="T10" fmla="+- 0 -279 -279"/>
                            <a:gd name="T11" fmla="*/ -279 h 20"/>
                            <a:gd name="T12" fmla="+- 0 6211 6193"/>
                            <a:gd name="T13" fmla="*/ T12 w 20"/>
                            <a:gd name="T14" fmla="+- 0 -276 -279"/>
                            <a:gd name="T15" fmla="*/ -276 h 20"/>
                            <a:gd name="T16" fmla="+- 0 6213 6193"/>
                            <a:gd name="T17" fmla="*/ T16 w 20"/>
                            <a:gd name="T18" fmla="+- 0 -269 -279"/>
                            <a:gd name="T19" fmla="*/ -269 h 20"/>
                            <a:gd name="T20" fmla="+- 0 6211 6193"/>
                            <a:gd name="T21" fmla="*/ T20 w 20"/>
                            <a:gd name="T22" fmla="+- 0 -262 -279"/>
                            <a:gd name="T23" fmla="*/ -262 h 20"/>
                            <a:gd name="T24" fmla="+- 0 6203 6193"/>
                            <a:gd name="T25" fmla="*/ T24 w 20"/>
                            <a:gd name="T26" fmla="+- 0 -259 -279"/>
                            <a:gd name="T27" fmla="*/ -259 h 20"/>
                            <a:gd name="T28" fmla="+- 0 6196 6193"/>
                            <a:gd name="T29" fmla="*/ T28 w 20"/>
                            <a:gd name="T30" fmla="+- 0 -262 -279"/>
                            <a:gd name="T31" fmla="*/ -262 h 20"/>
                            <a:gd name="T32" fmla="+- 0 6193 6193"/>
                            <a:gd name="T33" fmla="*/ T32 w 20"/>
                            <a:gd name="T34" fmla="+- 0 -269 -279"/>
                            <a:gd name="T35" fmla="*/ -26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8" y="3"/>
                              </a:lnTo>
                              <a:lnTo>
                                <a:pt x="20" y="10"/>
                              </a:lnTo>
                              <a:lnTo>
                                <a:pt x="18" y="17"/>
                              </a:lnTo>
                              <a:lnTo>
                                <a:pt x="10" y="20"/>
                              </a:lnTo>
                              <a:lnTo>
                                <a:pt x="3" y="17"/>
                              </a:lnTo>
                              <a:lnTo>
                                <a:pt x="0" y="10"/>
                              </a:lnTo>
                              <a:close/>
                            </a:path>
                          </a:pathLst>
                        </a:custGeom>
                        <a:solidFill>
                          <a:srgbClr val="F37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88789" id="Freeform 1711" o:spid="_x0000_s1026" alt="&quot;&quot;" style="position:absolute;margin-left:309.65pt;margin-top:-13.95pt;width:1pt;height:1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" path="m,10l3,3,10,r8,3l20,10r-2,7l10,20,3,17,,10xe" fillcolor="#f37973" stroked="f">
                <v:path arrowok="t" o:connecttype="custom" o:connectlocs="0,-170815;1905,-175260;6350,-177165;11430,-175260;12700,-170815;11430,-166370;6350,-164465;1905,-166370;0,-170815" o:connectangles="0,0,0,0,0,0,0,0,0"/>
                <w10:wrap anchorx="page"/>
              </v:shape>
            </w:pict>
          </mc:Fallback>
        </mc:AlternateContent>
      </w:r>
      <w:r w:rsidRPr="00C000B2">
        <w:rPr>
          <w:noProof/>
          <w:lang w:eastAsia="en-NZ"/>
        </w:rPr>
        <mc:AlternateContent>
          <mc:Choice Requires="wpg">
            <w:drawing>
              <wp:anchor distT="0" distB="0" distL="114300" distR="114300" simplePos="0" relativeHeight="252025856" behindDoc="1" locked="0" layoutInCell="1" allowOverlap="1" wp14:anchorId="2015AA3F" wp14:editId="0153B294">
                <wp:simplePos x="0" y="0"/>
                <wp:positionH relativeFrom="page">
                  <wp:posOffset>1560195</wp:posOffset>
                </wp:positionH>
                <wp:positionV relativeFrom="paragraph">
                  <wp:posOffset>-728345</wp:posOffset>
                </wp:positionV>
                <wp:extent cx="281305" cy="481965"/>
                <wp:effectExtent l="7620" t="5080" r="6350" b="0"/>
                <wp:wrapNone/>
                <wp:docPr id="1708" name="Group 1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481965"/>
                          <a:chOff x="2457" y="-1147"/>
                          <a:chExt cx="443" cy="759"/>
                        </a:xfrm>
                      </wpg:grpSpPr>
                      <wps:wsp>
                        <wps:cNvPr id="1709" name="docshape205"/>
                        <wps:cNvSpPr>
                          <a:spLocks/>
                        </wps:cNvSpPr>
                        <wps:spPr bwMode="auto">
                          <a:xfrm>
                            <a:off x="2456" y="-1148"/>
                            <a:ext cx="443" cy="759"/>
                          </a:xfrm>
                          <a:custGeom>
                            <a:avLst/>
                            <a:gdLst>
                              <a:gd name="T0" fmla="+- 0 2494 2457"/>
                              <a:gd name="T1" fmla="*/ T0 w 443"/>
                              <a:gd name="T2" fmla="+- 0 -1143 -1147"/>
                              <a:gd name="T3" fmla="*/ -1143 h 759"/>
                              <a:gd name="T4" fmla="+- 0 2473 2457"/>
                              <a:gd name="T5" fmla="*/ T4 w 443"/>
                              <a:gd name="T6" fmla="+- 0 -1077 -1147"/>
                              <a:gd name="T7" fmla="*/ -1077 h 759"/>
                              <a:gd name="T8" fmla="+- 0 2457 2457"/>
                              <a:gd name="T9" fmla="*/ T8 w 443"/>
                              <a:gd name="T10" fmla="+- 0 -971 -1147"/>
                              <a:gd name="T11" fmla="*/ -971 h 759"/>
                              <a:gd name="T12" fmla="+- 0 2460 2457"/>
                              <a:gd name="T13" fmla="*/ T12 w 443"/>
                              <a:gd name="T14" fmla="+- 0 -957 -1147"/>
                              <a:gd name="T15" fmla="*/ -957 h 759"/>
                              <a:gd name="T16" fmla="+- 0 2481 2457"/>
                              <a:gd name="T17" fmla="*/ T16 w 443"/>
                              <a:gd name="T18" fmla="+- 0 -880 -1147"/>
                              <a:gd name="T19" fmla="*/ -880 h 759"/>
                              <a:gd name="T20" fmla="+- 0 2563 2457"/>
                              <a:gd name="T21" fmla="*/ T20 w 443"/>
                              <a:gd name="T22" fmla="+- 0 -775 -1147"/>
                              <a:gd name="T23" fmla="*/ -775 h 759"/>
                              <a:gd name="T24" fmla="+- 0 2635 2457"/>
                              <a:gd name="T25" fmla="*/ T24 w 443"/>
                              <a:gd name="T26" fmla="+- 0 -741 -1147"/>
                              <a:gd name="T27" fmla="*/ -741 h 759"/>
                              <a:gd name="T28" fmla="+- 0 2646 2457"/>
                              <a:gd name="T29" fmla="*/ T28 w 443"/>
                              <a:gd name="T30" fmla="+- 0 -737 -1147"/>
                              <a:gd name="T31" fmla="*/ -737 h 759"/>
                              <a:gd name="T32" fmla="+- 0 2591 2457"/>
                              <a:gd name="T33" fmla="*/ T32 w 443"/>
                              <a:gd name="T34" fmla="+- 0 -429 -1147"/>
                              <a:gd name="T35" fmla="*/ -429 h 759"/>
                              <a:gd name="T36" fmla="+- 0 2540 2457"/>
                              <a:gd name="T37" fmla="*/ T36 w 443"/>
                              <a:gd name="T38" fmla="+- 0 -412 -1147"/>
                              <a:gd name="T39" fmla="*/ -412 h 759"/>
                              <a:gd name="T40" fmla="+- 0 2682 2457"/>
                              <a:gd name="T41" fmla="*/ T40 w 443"/>
                              <a:gd name="T42" fmla="+- 0 -389 -1147"/>
                              <a:gd name="T43" fmla="*/ -389 h 759"/>
                              <a:gd name="T44" fmla="+- 0 2824 2457"/>
                              <a:gd name="T45" fmla="*/ T44 w 443"/>
                              <a:gd name="T46" fmla="+- 0 -418 -1147"/>
                              <a:gd name="T47" fmla="*/ -418 h 759"/>
                              <a:gd name="T48" fmla="+- 0 2713 2457"/>
                              <a:gd name="T49" fmla="*/ T48 w 443"/>
                              <a:gd name="T50" fmla="+- 0 -731 -1147"/>
                              <a:gd name="T51" fmla="*/ -731 h 759"/>
                              <a:gd name="T52" fmla="+- 0 2763 2457"/>
                              <a:gd name="T53" fmla="*/ T52 w 443"/>
                              <a:gd name="T54" fmla="+- 0 -757 -1147"/>
                              <a:gd name="T55" fmla="*/ -757 h 759"/>
                              <a:gd name="T56" fmla="+- 0 2792 2457"/>
                              <a:gd name="T57" fmla="*/ T56 w 443"/>
                              <a:gd name="T58" fmla="+- 0 -775 -1147"/>
                              <a:gd name="T59" fmla="*/ -775 h 759"/>
                              <a:gd name="T60" fmla="+- 0 2614 2457"/>
                              <a:gd name="T61" fmla="*/ T60 w 443"/>
                              <a:gd name="T62" fmla="+- 0 -789 -1147"/>
                              <a:gd name="T63" fmla="*/ -789 h 759"/>
                              <a:gd name="T64" fmla="+- 0 2520 2457"/>
                              <a:gd name="T65" fmla="*/ T64 w 443"/>
                              <a:gd name="T66" fmla="+- 0 -887 -1147"/>
                              <a:gd name="T67" fmla="*/ -887 h 759"/>
                              <a:gd name="T68" fmla="+- 0 2497 2457"/>
                              <a:gd name="T69" fmla="*/ T68 w 443"/>
                              <a:gd name="T70" fmla="+- 0 -1025 -1147"/>
                              <a:gd name="T71" fmla="*/ -1025 h 759"/>
                              <a:gd name="T72" fmla="+- 0 2520 2457"/>
                              <a:gd name="T73" fmla="*/ T72 w 443"/>
                              <a:gd name="T74" fmla="+- 0 -1105 -1147"/>
                              <a:gd name="T75" fmla="*/ -1105 h 759"/>
                              <a:gd name="T76" fmla="+- 0 2873 2457"/>
                              <a:gd name="T77" fmla="*/ T76 w 443"/>
                              <a:gd name="T78" fmla="+- 0 -1110 -1147"/>
                              <a:gd name="T79" fmla="*/ -1110 h 759"/>
                              <a:gd name="T80" fmla="+- 0 2860 2457"/>
                              <a:gd name="T81" fmla="*/ T80 w 443"/>
                              <a:gd name="T82" fmla="+- 0 -1139 -1147"/>
                              <a:gd name="T83" fmla="*/ -1139 h 759"/>
                              <a:gd name="T84" fmla="+- 0 2503 2457"/>
                              <a:gd name="T85" fmla="*/ T84 w 443"/>
                              <a:gd name="T86" fmla="+- 0 -1147 -1147"/>
                              <a:gd name="T87" fmla="*/ -1147 h 759"/>
                              <a:gd name="T88" fmla="+- 0 2745 2457"/>
                              <a:gd name="T89" fmla="*/ T88 w 443"/>
                              <a:gd name="T90" fmla="+- 0 -1108 -1147"/>
                              <a:gd name="T91" fmla="*/ -1108 h 759"/>
                              <a:gd name="T92" fmla="+- 0 2815 2457"/>
                              <a:gd name="T93" fmla="*/ T92 w 443"/>
                              <a:gd name="T94" fmla="+- 0 -1107 -1147"/>
                              <a:gd name="T95" fmla="*/ -1107 h 759"/>
                              <a:gd name="T96" fmla="+- 0 2837 2457"/>
                              <a:gd name="T97" fmla="*/ T96 w 443"/>
                              <a:gd name="T98" fmla="+- 0 -1100 -1147"/>
                              <a:gd name="T99" fmla="*/ -1100 h 759"/>
                              <a:gd name="T100" fmla="+- 0 2859 2457"/>
                              <a:gd name="T101" fmla="*/ T100 w 443"/>
                              <a:gd name="T102" fmla="+- 0 -1025 -1147"/>
                              <a:gd name="T103" fmla="*/ -1025 h 759"/>
                              <a:gd name="T104" fmla="+- 0 2857 2457"/>
                              <a:gd name="T105" fmla="*/ T104 w 443"/>
                              <a:gd name="T106" fmla="+- 0 -952 -1147"/>
                              <a:gd name="T107" fmla="*/ -952 h 759"/>
                              <a:gd name="T108" fmla="+- 0 2794 2457"/>
                              <a:gd name="T109" fmla="*/ T108 w 443"/>
                              <a:gd name="T110" fmla="+- 0 -826 -1147"/>
                              <a:gd name="T111" fmla="*/ -826 h 759"/>
                              <a:gd name="T112" fmla="+- 0 2675 2457"/>
                              <a:gd name="T113" fmla="*/ T112 w 443"/>
                              <a:gd name="T114" fmla="+- 0 -775 -1147"/>
                              <a:gd name="T115" fmla="*/ -775 h 759"/>
                              <a:gd name="T116" fmla="+- 0 2807 2457"/>
                              <a:gd name="T117" fmla="*/ T116 w 443"/>
                              <a:gd name="T118" fmla="+- 0 -786 -1147"/>
                              <a:gd name="T119" fmla="*/ -786 h 759"/>
                              <a:gd name="T120" fmla="+- 0 2888 2457"/>
                              <a:gd name="T121" fmla="*/ T120 w 443"/>
                              <a:gd name="T122" fmla="+- 0 -911 -1147"/>
                              <a:gd name="T123" fmla="*/ -911 h 759"/>
                              <a:gd name="T124" fmla="+- 0 2892 2457"/>
                              <a:gd name="T125" fmla="*/ T124 w 443"/>
                              <a:gd name="T126" fmla="+- 0 -1062 -1147"/>
                              <a:gd name="T127" fmla="*/ -1062 h 759"/>
                              <a:gd name="T128" fmla="+- 0 2873 2457"/>
                              <a:gd name="T129" fmla="*/ T128 w 443"/>
                              <a:gd name="T130" fmla="+- 0 -1109 -1147"/>
                              <a:gd name="T131" fmla="*/ -1109 h 759"/>
                              <a:gd name="T132" fmla="+- 0 2676 2457"/>
                              <a:gd name="T133" fmla="*/ T132 w 443"/>
                              <a:gd name="T134" fmla="+- 0 -1108 -1147"/>
                              <a:gd name="T135" fmla="*/ -1108 h 759"/>
                              <a:gd name="T136" fmla="+- 0 2873 2457"/>
                              <a:gd name="T137" fmla="*/ T136 w 443"/>
                              <a:gd name="T138" fmla="+- 0 -1109 -1147"/>
                              <a:gd name="T139" fmla="*/ -1109 h 759"/>
                              <a:gd name="T140" fmla="+- 0 2527 2457"/>
                              <a:gd name="T141" fmla="*/ T140 w 443"/>
                              <a:gd name="T142" fmla="+- 0 -1110 -1147"/>
                              <a:gd name="T143" fmla="*/ -1110 h 759"/>
                              <a:gd name="T144" fmla="+- 0 2609 2457"/>
                              <a:gd name="T145" fmla="*/ T144 w 443"/>
                              <a:gd name="T146" fmla="+- 0 -1109 -1147"/>
                              <a:gd name="T147" fmla="*/ -1109 h 759"/>
                              <a:gd name="T148" fmla="+- 0 2873 2457"/>
                              <a:gd name="T149" fmla="*/ T148 w 443"/>
                              <a:gd name="T150" fmla="+- 0 -1110 -1147"/>
                              <a:gd name="T151" fmla="*/ -1110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43" h="759">
                                <a:moveTo>
                                  <a:pt x="46" y="0"/>
                                </a:moveTo>
                                <a:lnTo>
                                  <a:pt x="37" y="4"/>
                                </a:lnTo>
                                <a:lnTo>
                                  <a:pt x="25" y="44"/>
                                </a:lnTo>
                                <a:lnTo>
                                  <a:pt x="16" y="70"/>
                                </a:lnTo>
                                <a:lnTo>
                                  <a:pt x="0" y="124"/>
                                </a:lnTo>
                                <a:lnTo>
                                  <a:pt x="0" y="176"/>
                                </a:lnTo>
                                <a:lnTo>
                                  <a:pt x="1" y="183"/>
                                </a:lnTo>
                                <a:lnTo>
                                  <a:pt x="3" y="190"/>
                                </a:lnTo>
                                <a:lnTo>
                                  <a:pt x="4" y="197"/>
                                </a:lnTo>
                                <a:lnTo>
                                  <a:pt x="24" y="267"/>
                                </a:lnTo>
                                <a:lnTo>
                                  <a:pt x="57" y="326"/>
                                </a:lnTo>
                                <a:lnTo>
                                  <a:pt x="106" y="372"/>
                                </a:lnTo>
                                <a:lnTo>
                                  <a:pt x="172" y="404"/>
                                </a:lnTo>
                                <a:lnTo>
                                  <a:pt x="178" y="406"/>
                                </a:lnTo>
                                <a:lnTo>
                                  <a:pt x="184" y="408"/>
                                </a:lnTo>
                                <a:lnTo>
                                  <a:pt x="189" y="410"/>
                                </a:lnTo>
                                <a:lnTo>
                                  <a:pt x="189" y="712"/>
                                </a:lnTo>
                                <a:lnTo>
                                  <a:pt x="134" y="718"/>
                                </a:lnTo>
                                <a:lnTo>
                                  <a:pt x="108" y="724"/>
                                </a:lnTo>
                                <a:lnTo>
                                  <a:pt x="83" y="735"/>
                                </a:lnTo>
                                <a:lnTo>
                                  <a:pt x="138" y="753"/>
                                </a:lnTo>
                                <a:lnTo>
                                  <a:pt x="225" y="758"/>
                                </a:lnTo>
                                <a:lnTo>
                                  <a:pt x="311" y="751"/>
                                </a:lnTo>
                                <a:lnTo>
                                  <a:pt x="367" y="729"/>
                                </a:lnTo>
                                <a:lnTo>
                                  <a:pt x="256" y="710"/>
                                </a:lnTo>
                                <a:lnTo>
                                  <a:pt x="256" y="416"/>
                                </a:lnTo>
                                <a:lnTo>
                                  <a:pt x="281" y="402"/>
                                </a:lnTo>
                                <a:lnTo>
                                  <a:pt x="306" y="390"/>
                                </a:lnTo>
                                <a:lnTo>
                                  <a:pt x="329" y="376"/>
                                </a:lnTo>
                                <a:lnTo>
                                  <a:pt x="335" y="372"/>
                                </a:lnTo>
                                <a:lnTo>
                                  <a:pt x="218" y="372"/>
                                </a:lnTo>
                                <a:lnTo>
                                  <a:pt x="157" y="358"/>
                                </a:lnTo>
                                <a:lnTo>
                                  <a:pt x="101" y="317"/>
                                </a:lnTo>
                                <a:lnTo>
                                  <a:pt x="63" y="260"/>
                                </a:lnTo>
                                <a:lnTo>
                                  <a:pt x="42" y="192"/>
                                </a:lnTo>
                                <a:lnTo>
                                  <a:pt x="40" y="122"/>
                                </a:lnTo>
                                <a:lnTo>
                                  <a:pt x="57" y="55"/>
                                </a:lnTo>
                                <a:lnTo>
                                  <a:pt x="63" y="42"/>
                                </a:lnTo>
                                <a:lnTo>
                                  <a:pt x="70" y="37"/>
                                </a:lnTo>
                                <a:lnTo>
                                  <a:pt x="416" y="37"/>
                                </a:lnTo>
                                <a:lnTo>
                                  <a:pt x="407" y="14"/>
                                </a:lnTo>
                                <a:lnTo>
                                  <a:pt x="403" y="8"/>
                                </a:lnTo>
                                <a:lnTo>
                                  <a:pt x="392" y="3"/>
                                </a:lnTo>
                                <a:lnTo>
                                  <a:pt x="46" y="0"/>
                                </a:lnTo>
                                <a:close/>
                                <a:moveTo>
                                  <a:pt x="417" y="39"/>
                                </a:moveTo>
                                <a:lnTo>
                                  <a:pt x="288" y="39"/>
                                </a:lnTo>
                                <a:lnTo>
                                  <a:pt x="323" y="39"/>
                                </a:lnTo>
                                <a:lnTo>
                                  <a:pt x="358" y="40"/>
                                </a:lnTo>
                                <a:lnTo>
                                  <a:pt x="367" y="40"/>
                                </a:lnTo>
                                <a:lnTo>
                                  <a:pt x="380" y="47"/>
                                </a:lnTo>
                                <a:lnTo>
                                  <a:pt x="383" y="55"/>
                                </a:lnTo>
                                <a:lnTo>
                                  <a:pt x="402" y="122"/>
                                </a:lnTo>
                                <a:lnTo>
                                  <a:pt x="402" y="124"/>
                                </a:lnTo>
                                <a:lnTo>
                                  <a:pt x="400" y="195"/>
                                </a:lnTo>
                                <a:lnTo>
                                  <a:pt x="378" y="264"/>
                                </a:lnTo>
                                <a:lnTo>
                                  <a:pt x="337" y="321"/>
                                </a:lnTo>
                                <a:lnTo>
                                  <a:pt x="280" y="360"/>
                                </a:lnTo>
                                <a:lnTo>
                                  <a:pt x="218" y="372"/>
                                </a:lnTo>
                                <a:lnTo>
                                  <a:pt x="335" y="372"/>
                                </a:lnTo>
                                <a:lnTo>
                                  <a:pt x="350" y="361"/>
                                </a:lnTo>
                                <a:lnTo>
                                  <a:pt x="399" y="305"/>
                                </a:lnTo>
                                <a:lnTo>
                                  <a:pt x="431" y="236"/>
                                </a:lnTo>
                                <a:lnTo>
                                  <a:pt x="443" y="161"/>
                                </a:lnTo>
                                <a:lnTo>
                                  <a:pt x="435" y="85"/>
                                </a:lnTo>
                                <a:lnTo>
                                  <a:pt x="417" y="39"/>
                                </a:lnTo>
                                <a:close/>
                                <a:moveTo>
                                  <a:pt x="416" y="38"/>
                                </a:moveTo>
                                <a:lnTo>
                                  <a:pt x="219" y="38"/>
                                </a:lnTo>
                                <a:lnTo>
                                  <a:pt x="219" y="39"/>
                                </a:lnTo>
                                <a:lnTo>
                                  <a:pt x="417" y="39"/>
                                </a:lnTo>
                                <a:lnTo>
                                  <a:pt x="416" y="38"/>
                                </a:lnTo>
                                <a:close/>
                                <a:moveTo>
                                  <a:pt x="416" y="37"/>
                                </a:moveTo>
                                <a:lnTo>
                                  <a:pt x="70" y="37"/>
                                </a:lnTo>
                                <a:lnTo>
                                  <a:pt x="118" y="38"/>
                                </a:lnTo>
                                <a:lnTo>
                                  <a:pt x="152" y="38"/>
                                </a:lnTo>
                                <a:lnTo>
                                  <a:pt x="416" y="38"/>
                                </a:lnTo>
                                <a:lnTo>
                                  <a:pt x="416" y="37"/>
                                </a:lnTo>
                                <a:close/>
                              </a:path>
                            </a:pathLst>
                          </a:custGeom>
                          <a:solidFill>
                            <a:srgbClr val="F379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0" name="docshape2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496" y="-1110"/>
                            <a:ext cx="36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C1352" id="Group 1708" o:spid="_x0000_s1026" alt="&quot;&quot;" style="position:absolute;margin-left:122.85pt;margin-top:-57.35pt;width:22.15pt;height:37.95pt;z-index:-251290624;mso-position-horizontal-relative:page" coordorigin="2457,-1147" coordsize="44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">
                <v:shape id="docshape205" o:spid="_x0000_s1027" style="position:absolute;left:2456;top:-1148;width:443;height:759;visibility:visible;mso-wrap-style:square;v-text-anchor:top" coordsize="44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" path="m46,l37,4,25,44,16,70,,124r,52l1,183r2,7l4,197r20,70l57,326r49,46l172,404r6,2l184,408r5,2l189,712r-55,6l108,724,83,735r55,18l225,758r86,-7l367,729,256,710r,-294l281,402r25,-12l329,376r6,-4l218,372,157,358,101,317,63,260,42,192,40,122,57,55,63,42r7,-5l416,37,407,14,403,8,392,3,46,xm417,39r-129,l323,39r35,1l367,40r13,7l383,55r19,67l402,124r-2,71l378,264r-41,57l280,360r-62,12l335,372r15,-11l399,305r32,-69l443,161,435,85,417,39xm416,38r-197,l219,39r198,l416,38xm416,37l70,37r48,1l152,38r264,l416,37xe" fillcolor="#f37973" stroked="f">
                  <v:path arrowok="t" o:connecttype="custom" o:connectlocs="37,-1143;16,-1077;0,-971;3,-957;24,-880;106,-775;178,-741;189,-737;134,-429;83,-412;225,-389;367,-418;256,-731;306,-757;335,-775;157,-789;63,-887;40,-1025;63,-1105;416,-1110;403,-1139;46,-1147;288,-1108;358,-1107;380,-1100;402,-1025;400,-952;337,-826;218,-775;350,-786;431,-911;435,-1062;416,-1109;219,-1108;416,-1109;70,-1110;152,-1109;416,-1110"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6" o:spid="_x0000_s1028" type="#_x0000_t75" style="position:absolute;left:2496;top:-1110;width:36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">
                  <v:imagedata r:id="rId32" o:title=""/>
                </v:shape>
                <w10:wrap anchorx="page"/>
              </v:group>
            </w:pict>
          </mc:Fallback>
        </mc:AlternateContent>
      </w:r>
      <w:r w:rsidRPr="00C000B2">
        <w:t>Generally, prevention interventions that focus on populations and environmental influences on health have a larger impact, greater potential for equity and tend to be more cost-effective (or even cost-saving) than interventions focused on particularly high-risk individuals.</w:t>
      </w:r>
      <w:r w:rsidRPr="00686A31">
        <w:rPr>
          <w:vertAlign w:val="superscript"/>
        </w:rPr>
        <w:t>35</w:t>
      </w:r>
      <w:r w:rsidR="00686A31">
        <w:rPr>
          <w:vertAlign w:val="superscript"/>
        </w:rPr>
        <w:t>–</w:t>
      </w:r>
      <w:r w:rsidRPr="00686A31">
        <w:rPr>
          <w:vertAlign w:val="superscript"/>
        </w:rPr>
        <w:t>37</w:t>
      </w:r>
      <w:r w:rsidRPr="00C000B2">
        <w:t xml:space="preserve"> For example, a volumetric tax on alcohol will have a bigger impact and be more cost-effective than residential treatment for alcohol dependence.</w:t>
      </w:r>
      <w:r w:rsidRPr="00686A31">
        <w:rPr>
          <w:vertAlign w:val="superscript"/>
        </w:rPr>
        <w:t>36</w:t>
      </w:r>
      <w:r w:rsidRPr="00C000B2">
        <w:t xml:space="preserve"> This does not mean that we should only have population-based cancer prevention efforts. Action at multiple levels and by multiple stakeholders is necessary and valuable. However, getting the right mix of interventions is important. District health boards, public health units, primary care providers, non-governmental organisations and Māori and Pacific providers already work to prevent cancer (and other conditions) with individuals and communities. Stronger population-based, environment-focused interventions can amplify and sustain the impact of their work rather than undermine it. Environment-focused interventions are also more resilient when crises occur as they are less reliant on individual efficacy or a fully functional health system. Some of the parallels between cancer prevention and COVID-19 prevention efforts are discussed in the conclusion of this report, as an example.</w:t>
      </w:r>
    </w:p>
    <w:p w14:paraId="1872C372" w14:textId="77777777" w:rsidR="000A0B2F" w:rsidRDefault="000A0B2F" w:rsidP="000A0B2F"/>
    <w:p w14:paraId="05C0AB95" w14:textId="77777777" w:rsidR="00EF27EC" w:rsidRPr="00C000B2" w:rsidRDefault="00EF27EC" w:rsidP="000A0B2F">
      <w:r w:rsidRPr="00C000B2">
        <w:t>Each year, approximately 25,000 people are diagnosed with cancer</w:t>
      </w:r>
      <w:r w:rsidR="000A0B2F" w:rsidRPr="000A0B2F">
        <w:rPr>
          <w:rStyle w:val="FootnoteReference"/>
          <w:vertAlign w:val="baseline"/>
        </w:rPr>
        <w:footnoteReference w:customMarkFollows="1" w:id="1"/>
        <w:t>*</w:t>
      </w:r>
      <w:r w:rsidRPr="00C000B2">
        <w:t xml:space="preserve"> in Aotearoa.</w:t>
      </w:r>
      <w:r w:rsidRPr="00686A31">
        <w:rPr>
          <w:vertAlign w:val="superscript"/>
        </w:rPr>
        <w:t>38</w:t>
      </w:r>
      <w:r w:rsidRPr="00C000B2">
        <w:t xml:space="preserve"> By 2040, this number is predicted to increase by 40 percent.</w:t>
      </w:r>
      <w:r w:rsidRPr="00686A31">
        <w:rPr>
          <w:vertAlign w:val="superscript"/>
        </w:rPr>
        <w:t>39</w:t>
      </w:r>
      <w:r w:rsidRPr="00C000B2">
        <w:t xml:space="preserve"> The higher rate will in turn increase the demand for cancer services, which will be difficult for services to meet over an extended period and may exacerbate inequities in cancer care for Māori and other population groups that already experience inequity. In the words of the immediate past Director of the International Agency for Research on Cancer (IARC), Chris Wild, ‘No country can afford to treat their way out of the cancer crisis</w:t>
      </w:r>
      <w:r w:rsidR="000A0B2F">
        <w:t>’</w:t>
      </w:r>
      <w:r w:rsidRPr="00C000B2">
        <w:t>.</w:t>
      </w:r>
    </w:p>
    <w:p w14:paraId="4B832B53" w14:textId="77777777" w:rsidR="00EF27EC" w:rsidRPr="00C000B2" w:rsidRDefault="00EF27EC" w:rsidP="000A0B2F"/>
    <w:p w14:paraId="0221F1D6" w14:textId="77777777" w:rsidR="00EF27EC" w:rsidRPr="00C000B2" w:rsidRDefault="00EF27EC" w:rsidP="000A0B2F">
      <w:pPr>
        <w:pStyle w:val="Heading2"/>
      </w:pPr>
      <w:bookmarkStart w:id="37" w:name="Purpose_of_this_report"/>
      <w:bookmarkStart w:id="38" w:name="_bookmark8"/>
      <w:bookmarkStart w:id="39" w:name="_Toc95742646"/>
      <w:bookmarkEnd w:id="37"/>
      <w:bookmarkEnd w:id="38"/>
      <w:r w:rsidRPr="00C000B2">
        <w:t>Purpose of this report</w:t>
      </w:r>
      <w:bookmarkEnd w:id="39"/>
    </w:p>
    <w:p w14:paraId="6B475AAF" w14:textId="77777777" w:rsidR="00686A31" w:rsidRPr="00686A31" w:rsidRDefault="00EF27EC" w:rsidP="00686A31">
      <w:pPr>
        <w:rPr>
          <w:spacing w:val="-2"/>
        </w:rPr>
      </w:pPr>
      <w:r w:rsidRPr="00686A31">
        <w:rPr>
          <w:spacing w:val="-2"/>
        </w:rPr>
        <w:t xml:space="preserve">This report outlines evidence-based, best-practice interventions to prevent cancer across six key cancer risk factors and summarises how Aotearoa is doing in addressing each of those factors. In doing so, it aims to place renewed value on strengthening cancer prevention work to achieve the goals of fewer cancers, better </w:t>
      </w:r>
      <w:proofErr w:type="gramStart"/>
      <w:r w:rsidRPr="00686A31">
        <w:rPr>
          <w:spacing w:val="-2"/>
        </w:rPr>
        <w:t>survival</w:t>
      </w:r>
      <w:proofErr w:type="gramEnd"/>
      <w:r w:rsidRPr="00686A31">
        <w:rPr>
          <w:spacing w:val="-2"/>
        </w:rPr>
        <w:t xml:space="preserve"> and equity for all.</w:t>
      </w:r>
    </w:p>
    <w:p w14:paraId="2B6ED168" w14:textId="77777777" w:rsidR="00EF27EC" w:rsidRPr="0000534D" w:rsidRDefault="0000534D" w:rsidP="0000534D">
      <w:pPr>
        <w:pStyle w:val="Heading1"/>
      </w:pPr>
      <w:bookmarkStart w:id="40" w:name="Te_hōkai_me_te_hanga_o_tēnei_pūrongo__Sc"/>
      <w:bookmarkStart w:id="41" w:name="_bookmark9"/>
      <w:bookmarkStart w:id="42" w:name="_Toc95742647"/>
      <w:bookmarkEnd w:id="40"/>
      <w:bookmarkEnd w:id="41"/>
      <w:r w:rsidRPr="00C000B2">
        <w:lastRenderedPageBreak/>
        <w:t>Te Hōkai Me Te Hanga O Tēnei Pūrongo</w:t>
      </w:r>
      <w:r>
        <w:br/>
      </w:r>
      <w:r w:rsidRPr="00686A31">
        <w:rPr>
          <w:color w:val="22B893"/>
        </w:rPr>
        <w:t xml:space="preserve">Scope </w:t>
      </w:r>
      <w:r>
        <w:rPr>
          <w:color w:val="22B893"/>
        </w:rPr>
        <w:t>a</w:t>
      </w:r>
      <w:r w:rsidRPr="00686A31">
        <w:rPr>
          <w:color w:val="22B893"/>
        </w:rPr>
        <w:t xml:space="preserve">nd </w:t>
      </w:r>
      <w:r>
        <w:rPr>
          <w:color w:val="22B893"/>
        </w:rPr>
        <w:t>s</w:t>
      </w:r>
      <w:r w:rsidRPr="00686A31">
        <w:rPr>
          <w:color w:val="22B893"/>
        </w:rPr>
        <w:t xml:space="preserve">tructure </w:t>
      </w:r>
      <w:r w:rsidRPr="0000534D">
        <w:rPr>
          <w:color w:val="22B893"/>
        </w:rPr>
        <w:t>of this report</w:t>
      </w:r>
      <w:bookmarkEnd w:id="42"/>
    </w:p>
    <w:p w14:paraId="5564477D" w14:textId="77777777" w:rsidR="00EF27EC" w:rsidRPr="00C000B2" w:rsidRDefault="00EF27EC" w:rsidP="00686A31">
      <w:r w:rsidRPr="00C000B2">
        <w:t>Each of the following sections in this report focuses on a major cancer risk factor:</w:t>
      </w:r>
    </w:p>
    <w:p w14:paraId="031775E8" w14:textId="77777777" w:rsidR="00EF27EC" w:rsidRPr="00C000B2" w:rsidRDefault="00EF27EC" w:rsidP="00686A31">
      <w:pPr>
        <w:pStyle w:val="Bullet"/>
      </w:pPr>
      <w:r w:rsidRPr="00C000B2">
        <w:t>tobacco</w:t>
      </w:r>
    </w:p>
    <w:p w14:paraId="3613038C" w14:textId="77777777" w:rsidR="00EF27EC" w:rsidRPr="00C000B2" w:rsidRDefault="00EF27EC" w:rsidP="00686A31">
      <w:pPr>
        <w:pStyle w:val="Bullet"/>
      </w:pPr>
      <w:r w:rsidRPr="00C000B2">
        <w:t>alcohol</w:t>
      </w:r>
    </w:p>
    <w:p w14:paraId="127BE988" w14:textId="77777777" w:rsidR="00EF27EC" w:rsidRPr="00C000B2" w:rsidRDefault="00EF27EC" w:rsidP="00686A31">
      <w:pPr>
        <w:pStyle w:val="Bullet"/>
      </w:pPr>
      <w:r w:rsidRPr="00C000B2">
        <w:t>poor nutrition and excess body weight</w:t>
      </w:r>
    </w:p>
    <w:p w14:paraId="36BABE74" w14:textId="77777777" w:rsidR="00EF27EC" w:rsidRPr="00C000B2" w:rsidRDefault="00EF27EC" w:rsidP="00686A31">
      <w:pPr>
        <w:pStyle w:val="Bullet"/>
      </w:pPr>
      <w:r w:rsidRPr="00C000B2">
        <w:t>insufficient physical activity</w:t>
      </w:r>
    </w:p>
    <w:p w14:paraId="35293CE3" w14:textId="77777777" w:rsidR="00EF27EC" w:rsidRPr="00C000B2" w:rsidRDefault="00EF27EC" w:rsidP="00686A31">
      <w:pPr>
        <w:pStyle w:val="Bullet"/>
      </w:pPr>
      <w:r w:rsidRPr="00C000B2">
        <w:t>excessive exposure to ultraviolet (UV) radiation (sun)</w:t>
      </w:r>
    </w:p>
    <w:p w14:paraId="0A1194A7" w14:textId="77777777" w:rsidR="00EF27EC" w:rsidRPr="00C000B2" w:rsidRDefault="00EF27EC" w:rsidP="00686A31">
      <w:pPr>
        <w:pStyle w:val="Bullet"/>
      </w:pPr>
      <w:r w:rsidRPr="00C000B2">
        <w:t>chronic infections (</w:t>
      </w:r>
      <w:r w:rsidRPr="00C000B2">
        <w:rPr>
          <w:i/>
        </w:rPr>
        <w:t>Helicobacter pylori</w:t>
      </w:r>
      <w:r w:rsidRPr="00C000B2">
        <w:t xml:space="preserve">, human papillomavirus, </w:t>
      </w:r>
      <w:r w:rsidR="009278A9">
        <w:t>hepatitis B</w:t>
      </w:r>
      <w:r w:rsidRPr="00C000B2">
        <w:t xml:space="preserve"> and </w:t>
      </w:r>
      <w:r w:rsidR="009278A9">
        <w:t>hepatitis C</w:t>
      </w:r>
      <w:r w:rsidRPr="00C000B2">
        <w:t>, human immunodeficiency virus)</w:t>
      </w:r>
      <w:r w:rsidR="00686A31">
        <w:t>.</w:t>
      </w:r>
    </w:p>
    <w:p w14:paraId="5F808962" w14:textId="77777777" w:rsidR="00EF27EC" w:rsidRPr="00C000B2" w:rsidRDefault="00EF27EC" w:rsidP="00686A31"/>
    <w:p w14:paraId="61234FB6" w14:textId="77777777" w:rsidR="00EF27EC" w:rsidRPr="00C000B2" w:rsidRDefault="00EF27EC" w:rsidP="00686A31">
      <w:r w:rsidRPr="00C000B2">
        <w:t xml:space="preserve">It was beyond the scope of this report to address actions to reduce workplace carcinogens and the role of formal screening programmes in cancer prevention. For a summary of both these areas, see </w:t>
      </w:r>
      <w:r w:rsidRPr="00C000B2">
        <w:rPr>
          <w:i/>
        </w:rPr>
        <w:t xml:space="preserve">He </w:t>
      </w:r>
      <w:proofErr w:type="spellStart"/>
      <w:r w:rsidRPr="00C000B2">
        <w:rPr>
          <w:i/>
        </w:rPr>
        <w:t>Pūrongo</w:t>
      </w:r>
      <w:proofErr w:type="spellEnd"/>
      <w:r w:rsidRPr="00C000B2">
        <w:rPr>
          <w:i/>
        </w:rPr>
        <w:t xml:space="preserve"> Mate </w:t>
      </w:r>
      <w:proofErr w:type="spellStart"/>
      <w:r w:rsidRPr="00C000B2">
        <w:rPr>
          <w:i/>
        </w:rPr>
        <w:t>Pukupuku</w:t>
      </w:r>
      <w:proofErr w:type="spellEnd"/>
      <w:r w:rsidRPr="00C000B2">
        <w:rPr>
          <w:i/>
        </w:rPr>
        <w:t xml:space="preserve"> o Aotearoa 2020: The State of Cancer in New Zealand 2020.</w:t>
      </w:r>
      <w:r w:rsidRPr="00686A31">
        <w:rPr>
          <w:vertAlign w:val="superscript"/>
        </w:rPr>
        <w:t>38</w:t>
      </w:r>
    </w:p>
    <w:p w14:paraId="22B5F487" w14:textId="77777777" w:rsidR="00EF27EC" w:rsidRPr="00C000B2" w:rsidRDefault="00EF27EC" w:rsidP="00686A31"/>
    <w:p w14:paraId="397298BD" w14:textId="77777777" w:rsidR="00EF27EC" w:rsidRPr="00C000B2" w:rsidRDefault="00EF27EC" w:rsidP="00686A31">
      <w:r w:rsidRPr="00C000B2">
        <w:t>For each cancer risk factor, this report answers the following questions.</w:t>
      </w:r>
    </w:p>
    <w:p w14:paraId="7C5A5F40" w14:textId="77777777" w:rsidR="00EF27EC" w:rsidRPr="00C000B2" w:rsidRDefault="00EF27EC" w:rsidP="00686A31">
      <w:pPr>
        <w:pStyle w:val="Bullet"/>
      </w:pPr>
      <w:r w:rsidRPr="00C000B2">
        <w:t>What is the connection between the risk factor and cancer?</w:t>
      </w:r>
    </w:p>
    <w:p w14:paraId="32051D3A" w14:textId="77777777" w:rsidR="00EF27EC" w:rsidRPr="00C000B2" w:rsidRDefault="00EF27EC" w:rsidP="00686A31">
      <w:pPr>
        <w:pStyle w:val="Bullet"/>
      </w:pPr>
      <w:r w:rsidRPr="00C000B2">
        <w:t>How big is the problem of exposure to the cancer risk factor in Aotearoa?</w:t>
      </w:r>
    </w:p>
    <w:p w14:paraId="093F0108" w14:textId="77777777" w:rsidR="00EF27EC" w:rsidRPr="00C000B2" w:rsidRDefault="00EF27EC" w:rsidP="00686A31">
      <w:pPr>
        <w:pStyle w:val="Bullet"/>
      </w:pPr>
      <w:r w:rsidRPr="00C000B2">
        <w:t>How can we reduce exposure to the cancer risk factor in order to prevent cancers?</w:t>
      </w:r>
    </w:p>
    <w:p w14:paraId="511743E8" w14:textId="77777777" w:rsidR="00EF27EC" w:rsidRPr="00C000B2" w:rsidRDefault="00EF27EC" w:rsidP="00686A31"/>
    <w:p w14:paraId="0494F75F" w14:textId="77777777" w:rsidR="00EF27EC" w:rsidRPr="00C000B2" w:rsidRDefault="00EF27EC" w:rsidP="00686A31">
      <w:r w:rsidRPr="00C000B2">
        <w:t>The recommendations outlined in the report are evidence-based and internationally accepted as best practice. Options that support each recommendation are accompanied by evidence of</w:t>
      </w:r>
      <w:r w:rsidR="00686A31">
        <w:t xml:space="preserve"> </w:t>
      </w:r>
      <w:r w:rsidRPr="00C000B2">
        <w:t>effectiveness, international precedent from other jurisdictions where available, evidence of public and/or expert support, and an assessment of how well Aotearoa is performing in that area.</w:t>
      </w:r>
    </w:p>
    <w:p w14:paraId="61E2B40D" w14:textId="77777777" w:rsidR="00EF27EC" w:rsidRPr="00C000B2" w:rsidRDefault="00EF27EC" w:rsidP="00686A31"/>
    <w:p w14:paraId="51224DEF" w14:textId="77777777" w:rsidR="00EF27EC" w:rsidRPr="00C000B2" w:rsidRDefault="0000534D" w:rsidP="0000534D">
      <w:pPr>
        <w:pStyle w:val="Heading1"/>
      </w:pPr>
      <w:bookmarkStart w:id="43" w:name="Te_ārai_mate_pukupuku_ā-tūpeka___Prevent"/>
      <w:bookmarkStart w:id="44" w:name="What_is_the_connection_between_tobacco_e"/>
      <w:bookmarkStart w:id="45" w:name="Figure_4:_Cancers_related_to_tobacco45_"/>
      <w:bookmarkStart w:id="46" w:name="_bookmark10"/>
      <w:bookmarkStart w:id="47" w:name="_Toc95742648"/>
      <w:bookmarkEnd w:id="43"/>
      <w:bookmarkEnd w:id="44"/>
      <w:bookmarkEnd w:id="45"/>
      <w:bookmarkEnd w:id="46"/>
      <w:r w:rsidRPr="002A31A6">
        <w:lastRenderedPageBreak/>
        <w:t>Te Ārai Mate Pukupuku Ā</w:t>
      </w:r>
      <w:r w:rsidRPr="002A31A6">
        <w:noBreakHyphen/>
        <w:t>Tūpeka</w:t>
      </w:r>
      <w:r w:rsidRPr="002A31A6">
        <w:br/>
      </w:r>
      <w:r w:rsidRPr="0000534D">
        <w:rPr>
          <w:color w:val="22B893"/>
        </w:rPr>
        <w:t xml:space="preserve">Preventing </w:t>
      </w:r>
      <w:r>
        <w:rPr>
          <w:color w:val="22B893"/>
        </w:rPr>
        <w:t>c</w:t>
      </w:r>
      <w:r w:rsidRPr="0000534D">
        <w:rPr>
          <w:color w:val="22B893"/>
        </w:rPr>
        <w:t xml:space="preserve">ancers related to </w:t>
      </w:r>
      <w:r>
        <w:rPr>
          <w:color w:val="22B893"/>
        </w:rPr>
        <w:t>t</w:t>
      </w:r>
      <w:r w:rsidRPr="0000534D">
        <w:rPr>
          <w:color w:val="22B893"/>
        </w:rPr>
        <w:t>obacco</w:t>
      </w:r>
      <w:bookmarkEnd w:id="47"/>
    </w:p>
    <w:p w14:paraId="2C14A34A" w14:textId="77777777" w:rsidR="00EF27EC" w:rsidRPr="00C000B2" w:rsidRDefault="00EF27EC" w:rsidP="002A31A6">
      <w:pPr>
        <w:pStyle w:val="Heading2"/>
      </w:pPr>
      <w:bookmarkStart w:id="48" w:name="_Toc95742649"/>
      <w:r w:rsidRPr="00C000B2">
        <w:t>What is the connection between tobacco exposure and cancer?</w:t>
      </w:r>
      <w:bookmarkEnd w:id="48"/>
    </w:p>
    <w:p w14:paraId="2EC92314" w14:textId="77777777" w:rsidR="00EF27EC" w:rsidRDefault="00EF27EC" w:rsidP="002A31A6">
      <w:r w:rsidRPr="00C000B2">
        <w:t>Tobacco causes at least 80 percent of all lung cancers globally. It also causes more than 60 percent of all cancers of the larynx, oral cavity and oesophagus,</w:t>
      </w:r>
      <w:r w:rsidRPr="002A31A6">
        <w:rPr>
          <w:vertAlign w:val="superscript"/>
        </w:rPr>
        <w:t>40</w:t>
      </w:r>
      <w:r w:rsidRPr="00C000B2">
        <w:t xml:space="preserve"> and is linked to at least nine other cancers (</w:t>
      </w:r>
      <w:r w:rsidR="002A31A6">
        <w:fldChar w:fldCharType="begin"/>
      </w:r>
      <w:r w:rsidR="002A31A6">
        <w:instrText xml:space="preserve"> REF _Ref94779235 \h </w:instrText>
      </w:r>
      <w:r w:rsidR="002A31A6">
        <w:fldChar w:fldCharType="separate"/>
      </w:r>
      <w:r w:rsidR="006E6019">
        <w:t>Figure </w:t>
      </w:r>
      <w:r w:rsidR="006E6019">
        <w:rPr>
          <w:noProof/>
        </w:rPr>
        <w:t>4</w:t>
      </w:r>
      <w:r w:rsidR="002A31A6">
        <w:fldChar w:fldCharType="end"/>
      </w:r>
      <w:r w:rsidRPr="00C000B2">
        <w:t>). In Aotearoa in 2019, tobacco caused an estimated 20</w:t>
      </w:r>
      <w:r w:rsidR="002A31A6">
        <w:t> </w:t>
      </w:r>
      <w:r w:rsidRPr="00C000B2">
        <w:t>percent of all cancer deaths (over 2,000 deaths), 60 percent of lung cancer deaths (over 1,200 deaths),</w:t>
      </w:r>
      <w:r w:rsidRPr="002A31A6">
        <w:rPr>
          <w:vertAlign w:val="superscript"/>
        </w:rPr>
        <w:t>41</w:t>
      </w:r>
      <w:r w:rsidRPr="00C000B2">
        <w:t xml:space="preserve"> 57 percent of laryngeal cancer deaths and 30 percent of deaths from oesophageal cancer and oral cavity cancer.</w:t>
      </w:r>
      <w:r w:rsidRPr="002A31A6">
        <w:rPr>
          <w:vertAlign w:val="superscript"/>
        </w:rPr>
        <w:t>42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4"/>
        <w:gridCol w:w="4799"/>
        <w:gridCol w:w="2977"/>
      </w:tblGrid>
      <w:tr w:rsidR="006343EE" w14:paraId="4501CCF7" w14:textId="77777777" w:rsidTr="00CA66B1">
        <w:trPr>
          <w:cantSplit/>
        </w:trPr>
        <w:tc>
          <w:tcPr>
            <w:tcW w:w="5103" w:type="dxa"/>
            <w:gridSpan w:val="2"/>
            <w:shd w:val="clear" w:color="auto" w:fill="auto"/>
          </w:tcPr>
          <w:p w14:paraId="75537DE5" w14:textId="77777777" w:rsidR="006343EE" w:rsidRDefault="006343EE" w:rsidP="006343EE"/>
          <w:p w14:paraId="1F11ACE9" w14:textId="77777777" w:rsidR="006343EE" w:rsidRDefault="006343EE" w:rsidP="006343EE">
            <w:r w:rsidRPr="00C000B2">
              <w:t>Tobacco exposure is one of the most preventable causes of cancer.</w:t>
            </w:r>
          </w:p>
          <w:p w14:paraId="04231DB9" w14:textId="77777777" w:rsidR="006343EE" w:rsidRPr="00C000B2" w:rsidRDefault="006343EE" w:rsidP="006343EE"/>
        </w:tc>
        <w:tc>
          <w:tcPr>
            <w:tcW w:w="2977" w:type="dxa"/>
            <w:vMerge w:val="restart"/>
          </w:tcPr>
          <w:p w14:paraId="5237E2BA" w14:textId="77777777" w:rsidR="006343EE" w:rsidRDefault="006343EE" w:rsidP="006343EE">
            <w:pPr>
              <w:jc w:val="right"/>
            </w:pPr>
            <w:r>
              <w:rPr>
                <w:noProof/>
                <w:lang w:eastAsia="en-NZ"/>
              </w:rPr>
              <w:drawing>
                <wp:inline distT="0" distB="0" distL="0" distR="0" wp14:anchorId="431EB725" wp14:editId="1D87AB7B">
                  <wp:extent cx="1660802" cy="1248355"/>
                  <wp:effectExtent l="0" t="0" r="0" b="9525"/>
                  <wp:docPr id="1969" name="Picture 1969" descr="Tobacco causes at least 4 in 5 cases of lung cancers in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Picture 1969" descr="Tobacco causes at least 4 in 5 cases of lung cancers in Aotearoa."/>
                          <pic:cNvPicPr/>
                        </pic:nvPicPr>
                        <pic:blipFill>
                          <a:blip r:embed="rId33">
                            <a:extLst>
                              <a:ext uri="{28A0092B-C50C-407E-A947-70E740481C1C}">
                                <a14:useLocalDpi xmlns:a14="http://schemas.microsoft.com/office/drawing/2010/main" val="0"/>
                              </a:ext>
                            </a:extLst>
                          </a:blip>
                          <a:stretch>
                            <a:fillRect/>
                          </a:stretch>
                        </pic:blipFill>
                        <pic:spPr>
                          <a:xfrm>
                            <a:off x="0" y="0"/>
                            <a:ext cx="1661216" cy="1248666"/>
                          </a:xfrm>
                          <a:prstGeom prst="rect">
                            <a:avLst/>
                          </a:prstGeom>
                        </pic:spPr>
                      </pic:pic>
                    </a:graphicData>
                  </a:graphic>
                </wp:inline>
              </w:drawing>
            </w:r>
          </w:p>
        </w:tc>
      </w:tr>
      <w:tr w:rsidR="006343EE" w14:paraId="727BAC8E" w14:textId="77777777" w:rsidTr="00CA66B1">
        <w:trPr>
          <w:cantSplit/>
        </w:trPr>
        <w:tc>
          <w:tcPr>
            <w:tcW w:w="304" w:type="dxa"/>
            <w:shd w:val="clear" w:color="auto" w:fill="F37973"/>
          </w:tcPr>
          <w:p w14:paraId="7120FFF0" w14:textId="77777777" w:rsidR="006343EE" w:rsidRDefault="006343EE" w:rsidP="002A31A6"/>
        </w:tc>
        <w:tc>
          <w:tcPr>
            <w:tcW w:w="4799" w:type="dxa"/>
          </w:tcPr>
          <w:p w14:paraId="1A077CB9" w14:textId="77777777" w:rsidR="006343EE" w:rsidRDefault="006343EE" w:rsidP="00374570">
            <w:pPr>
              <w:pStyle w:val="TableText"/>
              <w:ind w:left="113"/>
            </w:pPr>
            <w:r w:rsidRPr="00C000B2">
              <w:t>The burden of tobacco-related cancers is highest for Māori, Pacific peoples and people living in socioeconomically deprived areas.</w:t>
            </w:r>
            <w:r w:rsidRPr="002A31A6">
              <w:rPr>
                <w:vertAlign w:val="superscript"/>
              </w:rPr>
              <w:t>43,</w:t>
            </w:r>
            <w:r>
              <w:rPr>
                <w:vertAlign w:val="superscript"/>
              </w:rPr>
              <w:t xml:space="preserve"> </w:t>
            </w:r>
            <w:r w:rsidRPr="002A31A6">
              <w:rPr>
                <w:vertAlign w:val="superscript"/>
              </w:rPr>
              <w:t>44</w:t>
            </w:r>
          </w:p>
        </w:tc>
        <w:tc>
          <w:tcPr>
            <w:tcW w:w="2977" w:type="dxa"/>
            <w:vMerge/>
          </w:tcPr>
          <w:p w14:paraId="2C48734A" w14:textId="77777777" w:rsidR="006343EE" w:rsidRDefault="006343EE" w:rsidP="006343EE">
            <w:pPr>
              <w:ind w:left="284"/>
            </w:pPr>
          </w:p>
        </w:tc>
      </w:tr>
      <w:tr w:rsidR="006343EE" w14:paraId="68338BDF" w14:textId="77777777" w:rsidTr="00CA66B1">
        <w:trPr>
          <w:cantSplit/>
        </w:trPr>
        <w:tc>
          <w:tcPr>
            <w:tcW w:w="5103" w:type="dxa"/>
            <w:gridSpan w:val="2"/>
            <w:shd w:val="clear" w:color="auto" w:fill="auto"/>
          </w:tcPr>
          <w:p w14:paraId="0D97B927" w14:textId="77777777" w:rsidR="006343EE" w:rsidRPr="00C000B2" w:rsidRDefault="006343EE" w:rsidP="006343EE"/>
        </w:tc>
        <w:tc>
          <w:tcPr>
            <w:tcW w:w="2977" w:type="dxa"/>
            <w:vMerge/>
          </w:tcPr>
          <w:p w14:paraId="10A6C07F" w14:textId="77777777" w:rsidR="006343EE" w:rsidRDefault="006343EE" w:rsidP="006343EE">
            <w:pPr>
              <w:ind w:left="284"/>
            </w:pPr>
          </w:p>
        </w:tc>
      </w:tr>
    </w:tbl>
    <w:p w14:paraId="1C89CBA5" w14:textId="77777777" w:rsidR="002A31A6" w:rsidRPr="00C000B2" w:rsidRDefault="002A31A6" w:rsidP="006343EE"/>
    <w:p w14:paraId="6D56466A" w14:textId="77777777" w:rsidR="00EF27EC" w:rsidRPr="002A31A6" w:rsidRDefault="002A31A6" w:rsidP="002A31A6">
      <w:pPr>
        <w:pStyle w:val="Figure"/>
      </w:pPr>
      <w:bookmarkStart w:id="49" w:name="_Ref94779235"/>
      <w:bookmarkStart w:id="50" w:name="_Toc95059125"/>
      <w:r>
        <w:lastRenderedPageBreak/>
        <w:t>Figure </w:t>
      </w:r>
      <w:r w:rsidR="00F50B6E">
        <w:fldChar w:fldCharType="begin"/>
      </w:r>
      <w:r w:rsidR="00F50B6E">
        <w:instrText xml:space="preserve"> SEQ Figure \* ARABIC </w:instrText>
      </w:r>
      <w:r w:rsidR="00F50B6E">
        <w:fldChar w:fldCharType="separate"/>
      </w:r>
      <w:r w:rsidR="006E6019">
        <w:rPr>
          <w:noProof/>
        </w:rPr>
        <w:t>4</w:t>
      </w:r>
      <w:r w:rsidR="00F50B6E">
        <w:rPr>
          <w:noProof/>
        </w:rPr>
        <w:fldChar w:fldCharType="end"/>
      </w:r>
      <w:bookmarkEnd w:id="49"/>
      <w:r w:rsidR="00EF27EC" w:rsidRPr="00C000B2">
        <w:t>: Cancers related to tobacco</w:t>
      </w:r>
      <w:r w:rsidR="00EF27EC" w:rsidRPr="002A31A6">
        <w:rPr>
          <w:b w:val="0"/>
          <w:vertAlign w:val="superscript"/>
        </w:rPr>
        <w:t>45</w:t>
      </w:r>
      <w:bookmarkEnd w:id="50"/>
    </w:p>
    <w:p w14:paraId="21D849AB" w14:textId="77777777" w:rsidR="00EF27EC" w:rsidRPr="00C000B2" w:rsidRDefault="006343EE" w:rsidP="006343EE">
      <w:r>
        <w:rPr>
          <w:noProof/>
          <w:lang w:eastAsia="en-NZ"/>
        </w:rPr>
        <w:drawing>
          <wp:inline distT="0" distB="0" distL="0" distR="0" wp14:anchorId="13D20948" wp14:editId="7BBAC8C6">
            <wp:extent cx="3236181" cy="2685177"/>
            <wp:effectExtent l="0" t="0" r="2540" b="1270"/>
            <wp:docPr id="1970" name="Picture 1970" title="Figure 4: Cancers related to tobacco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39927" cy="2688285"/>
                    </a:xfrm>
                    <a:prstGeom prst="rect">
                      <a:avLst/>
                    </a:prstGeom>
                  </pic:spPr>
                </pic:pic>
              </a:graphicData>
            </a:graphic>
          </wp:inline>
        </w:drawing>
      </w:r>
    </w:p>
    <w:p w14:paraId="018EF406" w14:textId="77777777" w:rsidR="00EF27EC" w:rsidRPr="00C000B2" w:rsidRDefault="00EF27EC" w:rsidP="00EF27EC">
      <w:pPr>
        <w:rPr>
          <w:rFonts w:ascii="Verdana"/>
        </w:rPr>
      </w:pPr>
    </w:p>
    <w:p w14:paraId="643447EB" w14:textId="77777777" w:rsidR="00EF27EC" w:rsidRPr="00C000B2" w:rsidRDefault="00EF27EC" w:rsidP="00CA66B1">
      <w:pPr>
        <w:pStyle w:val="Heading2"/>
      </w:pPr>
      <w:bookmarkStart w:id="51" w:name="How_big_is_the_problem_of_tobacco_exposu"/>
      <w:bookmarkStart w:id="52" w:name="Figure_5:_Current_smokers_in_Aotearoa,_1"/>
      <w:bookmarkStart w:id="53" w:name="_bookmark11"/>
      <w:bookmarkStart w:id="54" w:name="_Toc95742650"/>
      <w:bookmarkEnd w:id="51"/>
      <w:bookmarkEnd w:id="52"/>
      <w:bookmarkEnd w:id="53"/>
      <w:r w:rsidRPr="00C000B2">
        <w:t>How big is the problem of tobacco exposure in Aotearoa?</w:t>
      </w:r>
      <w:bookmarkEnd w:id="54"/>
    </w:p>
    <w:p w14:paraId="44B7F5FD" w14:textId="77777777" w:rsidR="00EF27EC" w:rsidRPr="00C000B2" w:rsidRDefault="00EF27EC" w:rsidP="00CA66B1">
      <w:r w:rsidRPr="00C000B2">
        <w:t>Over the last 40 years, tobacco use in Aotearoa has dropped significantly because of tobacco control measures. In 1983, 33 percent of people were current smokers</w:t>
      </w:r>
      <w:r w:rsidRPr="00CA66B1">
        <w:rPr>
          <w:vertAlign w:val="superscript"/>
        </w:rPr>
        <w:t>46</w:t>
      </w:r>
      <w:r w:rsidRPr="00C000B2">
        <w:t xml:space="preserve"> compared with 13 percent in 2019/20 (</w:t>
      </w:r>
      <w:r w:rsidR="00CA66B1">
        <w:fldChar w:fldCharType="begin"/>
      </w:r>
      <w:r w:rsidR="00CA66B1">
        <w:instrText xml:space="preserve"> REF _Ref94780245 \h </w:instrText>
      </w:r>
      <w:r w:rsidR="00CA66B1">
        <w:fldChar w:fldCharType="separate"/>
      </w:r>
      <w:r w:rsidR="006E6019">
        <w:t>Figure </w:t>
      </w:r>
      <w:r w:rsidR="006E6019">
        <w:rPr>
          <w:noProof/>
        </w:rPr>
        <w:t>5</w:t>
      </w:r>
      <w:r w:rsidR="00CA66B1">
        <w:fldChar w:fldCharType="end"/>
      </w:r>
      <w:r w:rsidRPr="00C000B2">
        <w:t>).</w:t>
      </w:r>
      <w:r w:rsidRPr="00CA66B1">
        <w:rPr>
          <w:vertAlign w:val="superscript"/>
        </w:rPr>
        <w:t>47</w:t>
      </w:r>
      <w:r w:rsidRPr="00C000B2">
        <w:t xml:space="preserve"> Over the 15 years from 2006/07 to 2019/20 alone, the proportion of daily smokers</w:t>
      </w:r>
      <w:r w:rsidR="00CA66B1">
        <w:t xml:space="preserve"> </w:t>
      </w:r>
      <w:r w:rsidRPr="00C000B2">
        <w:t>who smoke heavily (more than 21</w:t>
      </w:r>
      <w:r w:rsidR="00CA66B1">
        <w:t> </w:t>
      </w:r>
      <w:r w:rsidRPr="00C000B2">
        <w:t>cigarettes a day) fell from 11 percent to 6 percent and the mean number of cigarettes that individual smokers smoked per day fell from 12 to 9.</w:t>
      </w:r>
      <w:r w:rsidRPr="00CA66B1">
        <w:rPr>
          <w:vertAlign w:val="superscript"/>
        </w:rPr>
        <w:t>48</w:t>
      </w:r>
      <w:r w:rsidRPr="00C000B2">
        <w:t xml:space="preserve"> Currently, 464,000 people smoke daily in Aotearoa, including 145,000 Māori, 49,000 Pacific peoples and 305,000 European/other ethnicities.</w:t>
      </w:r>
      <w:r w:rsidRPr="00CA66B1">
        <w:rPr>
          <w:vertAlign w:val="superscript"/>
        </w:rPr>
        <w:t>47</w:t>
      </w:r>
    </w:p>
    <w:p w14:paraId="6064B443" w14:textId="77777777" w:rsidR="00EF27EC" w:rsidRPr="00C000B2" w:rsidRDefault="00EF27EC" w:rsidP="00CA66B1"/>
    <w:p w14:paraId="126467E0" w14:textId="77777777" w:rsidR="00EF27EC" w:rsidRPr="00C000B2" w:rsidRDefault="00EF27EC" w:rsidP="00CA66B1">
      <w:r w:rsidRPr="00C000B2">
        <w:t>These reductions are major improvements. However, marked differences in smoking remain by ethnicity and deprivation.</w:t>
      </w:r>
    </w:p>
    <w:p w14:paraId="30F1C7AE" w14:textId="77777777" w:rsidR="00EF27EC" w:rsidRDefault="00EF27EC" w:rsidP="00CA66B1"/>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4"/>
        <w:gridCol w:w="7918"/>
      </w:tblGrid>
      <w:tr w:rsidR="00CA66B1" w14:paraId="5DC19B56" w14:textId="77777777" w:rsidTr="00CA66B1">
        <w:trPr>
          <w:cantSplit/>
        </w:trPr>
        <w:tc>
          <w:tcPr>
            <w:tcW w:w="304" w:type="dxa"/>
            <w:shd w:val="clear" w:color="auto" w:fill="F37973"/>
          </w:tcPr>
          <w:p w14:paraId="468626BE" w14:textId="77777777" w:rsidR="00CA66B1" w:rsidRDefault="00CA66B1" w:rsidP="00AB11A2"/>
        </w:tc>
        <w:tc>
          <w:tcPr>
            <w:tcW w:w="7918" w:type="dxa"/>
          </w:tcPr>
          <w:p w14:paraId="23891A45" w14:textId="77777777" w:rsidR="00CA66B1" w:rsidRDefault="00CA66B1" w:rsidP="0029210A">
            <w:pPr>
              <w:pStyle w:val="TableText"/>
              <w:ind w:left="113"/>
            </w:pPr>
            <w:r w:rsidRPr="00C000B2">
              <w:t>Almost a third of Māori and 18 percent of Pacific peoples were daily smokers in 2019/20, compared with 10 percent of European/other ethnicities (</w:t>
            </w:r>
            <w:r>
              <w:fldChar w:fldCharType="begin"/>
            </w:r>
            <w:r>
              <w:instrText xml:space="preserve"> REF _Ref94780361 \h </w:instrText>
            </w:r>
            <w:r>
              <w:fldChar w:fldCharType="separate"/>
            </w:r>
            <w:r w:rsidR="006E6019">
              <w:t>Figure </w:t>
            </w:r>
            <w:r w:rsidR="006E6019">
              <w:rPr>
                <w:noProof/>
              </w:rPr>
              <w:t>6</w:t>
            </w:r>
            <w:r>
              <w:fldChar w:fldCharType="end"/>
            </w:r>
            <w:r w:rsidRPr="00C000B2">
              <w:t>). Māori women have the highest smoking rates of any group. Thirty-two percent of Māori women are daily smokers and Māori women were almost four times more likely than non-Māori women to be daily smokers.</w:t>
            </w:r>
            <w:r w:rsidRPr="00CA66B1">
              <w:rPr>
                <w:vertAlign w:val="superscript"/>
              </w:rPr>
              <w:t>49</w:t>
            </w:r>
            <w:r w:rsidRPr="00C000B2">
              <w:t xml:space="preserve"> In 2019/20, adults living in the most deprived neighbourhoods were five times more likely to smoke than those in the least deprived neighbourhoods (</w:t>
            </w:r>
            <w:r>
              <w:fldChar w:fldCharType="begin"/>
            </w:r>
            <w:r>
              <w:instrText xml:space="preserve"> REF _Ref94780532 \h </w:instrText>
            </w:r>
            <w:r>
              <w:fldChar w:fldCharType="separate"/>
            </w:r>
            <w:r w:rsidR="006E6019">
              <w:t>Figure </w:t>
            </w:r>
            <w:r w:rsidR="006E6019">
              <w:rPr>
                <w:noProof/>
              </w:rPr>
              <w:t>7</w:t>
            </w:r>
            <w:r>
              <w:fldChar w:fldCharType="end"/>
            </w:r>
            <w:r w:rsidRPr="00C000B2">
              <w:t>).</w:t>
            </w:r>
            <w:r w:rsidRPr="00CA66B1">
              <w:rPr>
                <w:vertAlign w:val="superscript"/>
              </w:rPr>
              <w:t>48</w:t>
            </w:r>
          </w:p>
        </w:tc>
      </w:tr>
    </w:tbl>
    <w:p w14:paraId="67711D03" w14:textId="77777777" w:rsidR="00CA66B1" w:rsidRDefault="00CA66B1" w:rsidP="00CA66B1"/>
    <w:p w14:paraId="7972F612" w14:textId="77777777" w:rsidR="00EF27EC" w:rsidRDefault="00CA66B1" w:rsidP="00CA66B1">
      <w:pPr>
        <w:pStyle w:val="Figure"/>
        <w:rPr>
          <w:b w:val="0"/>
          <w:vertAlign w:val="superscript"/>
        </w:rPr>
      </w:pPr>
      <w:bookmarkStart w:id="55" w:name="_Ref94780245"/>
      <w:bookmarkStart w:id="56" w:name="_Toc95059126"/>
      <w:r>
        <w:lastRenderedPageBreak/>
        <w:t>Figure </w:t>
      </w:r>
      <w:r w:rsidR="00F50B6E">
        <w:fldChar w:fldCharType="begin"/>
      </w:r>
      <w:r w:rsidR="00F50B6E">
        <w:instrText xml:space="preserve"> SEQ Figure \* ARABIC </w:instrText>
      </w:r>
      <w:r w:rsidR="00F50B6E">
        <w:fldChar w:fldCharType="separate"/>
      </w:r>
      <w:r w:rsidR="006E6019">
        <w:rPr>
          <w:noProof/>
        </w:rPr>
        <w:t>5</w:t>
      </w:r>
      <w:r w:rsidR="00F50B6E">
        <w:rPr>
          <w:noProof/>
        </w:rPr>
        <w:fldChar w:fldCharType="end"/>
      </w:r>
      <w:bookmarkEnd w:id="55"/>
      <w:r w:rsidR="00EF27EC" w:rsidRPr="00C000B2">
        <w:t>: Current smokers in Aotearoa, 1983–2019</w:t>
      </w:r>
      <w:r w:rsidR="00EF27EC" w:rsidRPr="00CA66B1">
        <w:rPr>
          <w:b w:val="0"/>
          <w:vertAlign w:val="superscript"/>
        </w:rPr>
        <w:t>49,</w:t>
      </w:r>
      <w:r>
        <w:rPr>
          <w:b w:val="0"/>
          <w:vertAlign w:val="superscript"/>
        </w:rPr>
        <w:t xml:space="preserve"> </w:t>
      </w:r>
      <w:r w:rsidR="00EF27EC" w:rsidRPr="00CA66B1">
        <w:rPr>
          <w:b w:val="0"/>
          <w:vertAlign w:val="superscript"/>
        </w:rPr>
        <w:t>50</w:t>
      </w:r>
      <w:bookmarkEnd w:id="56"/>
    </w:p>
    <w:p w14:paraId="4A5705A7" w14:textId="77777777" w:rsidR="00CA66B1" w:rsidRDefault="00CA66B1" w:rsidP="00CA66B1">
      <w:r>
        <w:rPr>
          <w:noProof/>
          <w:lang w:eastAsia="en-NZ"/>
        </w:rPr>
        <w:drawing>
          <wp:inline distT="0" distB="0" distL="0" distR="0" wp14:anchorId="47B547EB" wp14:editId="1094E31B">
            <wp:extent cx="4317559" cy="2550939"/>
            <wp:effectExtent l="0" t="0" r="6985" b="1905"/>
            <wp:docPr id="1972" name="Picture 1972" title="Figure 5: Current smokers in Aotearoa, 198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19844" cy="2552289"/>
                    </a:xfrm>
                    <a:prstGeom prst="rect">
                      <a:avLst/>
                    </a:prstGeom>
                  </pic:spPr>
                </pic:pic>
              </a:graphicData>
            </a:graphic>
          </wp:inline>
        </w:drawing>
      </w:r>
    </w:p>
    <w:p w14:paraId="0780ADEA" w14:textId="77777777" w:rsidR="00CA66B1" w:rsidRDefault="00CA66B1" w:rsidP="00CA66B1">
      <w:bookmarkStart w:id="57" w:name="Figure_6:_Daily_smoking_trends_in_adults"/>
      <w:bookmarkStart w:id="58" w:name="Figure_7:_Daily_smoking_trends_in_adults"/>
      <w:bookmarkStart w:id="59" w:name="_bookmark12"/>
      <w:bookmarkEnd w:id="57"/>
      <w:bookmarkEnd w:id="58"/>
      <w:bookmarkEnd w:id="59"/>
    </w:p>
    <w:p w14:paraId="6E9CA01B" w14:textId="77777777" w:rsidR="00EF27EC" w:rsidRDefault="00CA66B1" w:rsidP="00CA66B1">
      <w:pPr>
        <w:pStyle w:val="Figure"/>
        <w:rPr>
          <w:b w:val="0"/>
          <w:vertAlign w:val="superscript"/>
        </w:rPr>
      </w:pPr>
      <w:bookmarkStart w:id="60" w:name="_Ref94780361"/>
      <w:bookmarkStart w:id="61" w:name="_Toc95059127"/>
      <w:r>
        <w:t>Figure </w:t>
      </w:r>
      <w:r w:rsidR="00F50B6E">
        <w:fldChar w:fldCharType="begin"/>
      </w:r>
      <w:r w:rsidR="00F50B6E">
        <w:instrText xml:space="preserve"> SEQ Figure \* ARABIC </w:instrText>
      </w:r>
      <w:r w:rsidR="00F50B6E">
        <w:fldChar w:fldCharType="separate"/>
      </w:r>
      <w:r w:rsidR="006E6019">
        <w:rPr>
          <w:noProof/>
        </w:rPr>
        <w:t>6</w:t>
      </w:r>
      <w:r w:rsidR="00F50B6E">
        <w:rPr>
          <w:noProof/>
        </w:rPr>
        <w:fldChar w:fldCharType="end"/>
      </w:r>
      <w:bookmarkEnd w:id="60"/>
      <w:r w:rsidR="00EF27EC" w:rsidRPr="00C000B2">
        <w:t>: Daily smoking trends in adults (aged 15 years and older) by ethnicity,</w:t>
      </w:r>
      <w:r>
        <w:br/>
      </w:r>
      <w:r w:rsidR="00EF27EC" w:rsidRPr="00C000B2">
        <w:t>2006/07–2019/20</w:t>
      </w:r>
      <w:r w:rsidR="00EF27EC" w:rsidRPr="00CA66B1">
        <w:rPr>
          <w:b w:val="0"/>
          <w:vertAlign w:val="superscript"/>
        </w:rPr>
        <w:t>49</w:t>
      </w:r>
      <w:bookmarkEnd w:id="61"/>
    </w:p>
    <w:p w14:paraId="09B70B32" w14:textId="77777777" w:rsidR="00CA66B1" w:rsidRPr="00CA66B1" w:rsidRDefault="00CA66B1" w:rsidP="00CA66B1">
      <w:r>
        <w:rPr>
          <w:noProof/>
          <w:lang w:eastAsia="en-NZ"/>
        </w:rPr>
        <w:drawing>
          <wp:inline distT="0" distB="0" distL="0" distR="0" wp14:anchorId="3AD94964" wp14:editId="3CE15F37">
            <wp:extent cx="3474720" cy="2756866"/>
            <wp:effectExtent l="0" t="0" r="0" b="5715"/>
            <wp:docPr id="1973" name="Picture 1973" title="Figure 6: Daily smoking trends in adults (aged 15 years and older)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75052" cy="2757129"/>
                    </a:xfrm>
                    <a:prstGeom prst="rect">
                      <a:avLst/>
                    </a:prstGeom>
                  </pic:spPr>
                </pic:pic>
              </a:graphicData>
            </a:graphic>
          </wp:inline>
        </w:drawing>
      </w:r>
    </w:p>
    <w:p w14:paraId="4E35397B" w14:textId="77777777" w:rsidR="00CA66B1" w:rsidRDefault="00CA66B1" w:rsidP="00CA66B1"/>
    <w:p w14:paraId="6AEB05FD" w14:textId="77777777" w:rsidR="00EF27EC" w:rsidRPr="00CA66B1" w:rsidRDefault="00CA66B1" w:rsidP="00CA66B1">
      <w:pPr>
        <w:pStyle w:val="Figure"/>
        <w:rPr>
          <w:rStyle w:val="FigureChar"/>
        </w:rPr>
      </w:pPr>
      <w:bookmarkStart w:id="62" w:name="_Ref94780532"/>
      <w:bookmarkStart w:id="63" w:name="_Toc95059128"/>
      <w:r>
        <w:lastRenderedPageBreak/>
        <w:t>Figure </w:t>
      </w:r>
      <w:r w:rsidR="00F50B6E">
        <w:fldChar w:fldCharType="begin"/>
      </w:r>
      <w:r w:rsidR="00F50B6E">
        <w:instrText xml:space="preserve"> SEQ Figure \* ARABIC </w:instrText>
      </w:r>
      <w:r w:rsidR="00F50B6E">
        <w:fldChar w:fldCharType="separate"/>
      </w:r>
      <w:r w:rsidR="006E6019">
        <w:rPr>
          <w:noProof/>
        </w:rPr>
        <w:t>7</w:t>
      </w:r>
      <w:r w:rsidR="00F50B6E">
        <w:rPr>
          <w:noProof/>
        </w:rPr>
        <w:fldChar w:fldCharType="end"/>
      </w:r>
      <w:bookmarkEnd w:id="62"/>
      <w:r w:rsidR="00EF27EC" w:rsidRPr="00C000B2">
        <w:t>: Daily smoking trends in adults (aged 15 years and older) by neighbourhood deprivation, 2019/20</w:t>
      </w:r>
      <w:r w:rsidR="00EF27EC" w:rsidRPr="00CA66B1">
        <w:rPr>
          <w:b w:val="0"/>
          <w:vertAlign w:val="superscript"/>
        </w:rPr>
        <w:t>49</w:t>
      </w:r>
      <w:bookmarkEnd w:id="63"/>
    </w:p>
    <w:p w14:paraId="5551A0BD" w14:textId="77777777" w:rsidR="00EF27EC" w:rsidRDefault="00CA66B1" w:rsidP="00CA66B1">
      <w:r>
        <w:rPr>
          <w:noProof/>
          <w:lang w:eastAsia="en-NZ"/>
        </w:rPr>
        <w:drawing>
          <wp:inline distT="0" distB="0" distL="0" distR="0" wp14:anchorId="2D0E8B50" wp14:editId="220336BC">
            <wp:extent cx="3768918" cy="2736951"/>
            <wp:effectExtent l="0" t="0" r="3175" b="6350"/>
            <wp:docPr id="1974" name="Picture 1974" title="Figure 7: Daily smoking trends in adults (aged 15 years and older) by neighbourhood deprivatio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75418" cy="2741671"/>
                    </a:xfrm>
                    <a:prstGeom prst="rect">
                      <a:avLst/>
                    </a:prstGeom>
                  </pic:spPr>
                </pic:pic>
              </a:graphicData>
            </a:graphic>
          </wp:inline>
        </w:drawing>
      </w:r>
    </w:p>
    <w:p w14:paraId="379046CE" w14:textId="77777777" w:rsidR="00EF27EC" w:rsidRPr="00C000B2" w:rsidRDefault="00EF27EC" w:rsidP="00CA66B1"/>
    <w:p w14:paraId="34F92600" w14:textId="77777777" w:rsidR="00EF27EC" w:rsidRPr="00C000B2" w:rsidRDefault="00EF27EC" w:rsidP="00CA66B1">
      <w:pPr>
        <w:pStyle w:val="Heading2"/>
      </w:pPr>
      <w:bookmarkStart w:id="64" w:name="How_can_we_prevent_cancers_related_to_to"/>
      <w:bookmarkStart w:id="65" w:name="_bookmark13"/>
      <w:bookmarkStart w:id="66" w:name="_Toc95742651"/>
      <w:bookmarkEnd w:id="64"/>
      <w:bookmarkEnd w:id="65"/>
      <w:r w:rsidRPr="00C000B2">
        <w:t>How can we prevent cancers related to tobacco exposure?</w:t>
      </w:r>
      <w:bookmarkEnd w:id="66"/>
    </w:p>
    <w:p w14:paraId="5533ADAF" w14:textId="77777777" w:rsidR="00EF27EC" w:rsidRPr="00C000B2" w:rsidRDefault="00EF27EC" w:rsidP="00CA66B1">
      <w:r w:rsidRPr="00C000B2">
        <w:t xml:space="preserve">The interventions summarised below (and expanded on under the focus areas that follow) are those considered most likely to allow Aotearoa to become </w:t>
      </w:r>
      <w:proofErr w:type="spellStart"/>
      <w:r w:rsidRPr="00C000B2">
        <w:t>smokefree</w:t>
      </w:r>
      <w:proofErr w:type="spellEnd"/>
      <w:r w:rsidRPr="00C000B2">
        <w:t>. They are in line with the recommendations of the ASPIRE2025 group of Aotearoa tobacco control experts,</w:t>
      </w:r>
      <w:r w:rsidRPr="00CA66B1">
        <w:rPr>
          <w:vertAlign w:val="superscript"/>
        </w:rPr>
        <w:t>51</w:t>
      </w:r>
      <w:r w:rsidRPr="00C000B2">
        <w:t xml:space="preserve"> national and international organisations. Implementing these options would also mean fulfilment of our obligations under the World Health Organization (WHO) Framework Convention on Tobacco Control.</w:t>
      </w:r>
      <w:r w:rsidRPr="00CA66B1">
        <w:rPr>
          <w:vertAlign w:val="superscript"/>
        </w:rPr>
        <w:t>52</w:t>
      </w:r>
    </w:p>
    <w:p w14:paraId="3A9AEAB1" w14:textId="77777777" w:rsidR="00EF27EC" w:rsidRPr="00C000B2" w:rsidRDefault="00EF27EC" w:rsidP="00CA66B1"/>
    <w:p w14:paraId="642A5327" w14:textId="77777777" w:rsidR="00EF27EC" w:rsidRPr="00C000B2" w:rsidRDefault="00EF27EC" w:rsidP="00CA66B1">
      <w:r w:rsidRPr="00C000B2">
        <w:t xml:space="preserve">In December 2021, the New Zealand government launched the </w:t>
      </w:r>
      <w:proofErr w:type="spellStart"/>
      <w:r w:rsidRPr="00C000B2">
        <w:rPr>
          <w:i/>
        </w:rPr>
        <w:t>Smokefree</w:t>
      </w:r>
      <w:proofErr w:type="spellEnd"/>
      <w:r w:rsidRPr="00C000B2">
        <w:rPr>
          <w:i/>
        </w:rPr>
        <w:t xml:space="preserve"> Aotearoa 2025 Action Plan</w:t>
      </w:r>
      <w:r w:rsidRPr="00C000B2">
        <w:t xml:space="preserve">, setting out the actions Aotearoa will take over the next four years and beyond to achieve </w:t>
      </w:r>
      <w:proofErr w:type="spellStart"/>
      <w:r w:rsidRPr="00C000B2">
        <w:t>Smokefree</w:t>
      </w:r>
      <w:proofErr w:type="spellEnd"/>
      <w:r w:rsidRPr="00C000B2">
        <w:t xml:space="preserve"> Aotearoa 2025.</w:t>
      </w:r>
      <w:r w:rsidRPr="00CA66B1">
        <w:rPr>
          <w:vertAlign w:val="superscript"/>
        </w:rPr>
        <w:t>53</w:t>
      </w:r>
      <w:r w:rsidRPr="00C000B2">
        <w:t xml:space="preserve"> Te Aho o Te Kahu fully supports the actions outlined in the </w:t>
      </w:r>
      <w:proofErr w:type="spellStart"/>
      <w:r w:rsidRPr="00C000B2">
        <w:t>smokefree</w:t>
      </w:r>
      <w:proofErr w:type="spellEnd"/>
      <w:r w:rsidRPr="00C000B2">
        <w:t xml:space="preserve"> plan.</w:t>
      </w:r>
    </w:p>
    <w:p w14:paraId="46C4EA9D" w14:textId="77777777" w:rsidR="00EF27EC" w:rsidRDefault="00EF27EC" w:rsidP="00CA66B1"/>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F0"/>
        <w:tblLayout w:type="fixed"/>
        <w:tblCellMar>
          <w:left w:w="57" w:type="dxa"/>
          <w:right w:w="57" w:type="dxa"/>
        </w:tblCellMar>
        <w:tblLook w:val="04A0" w:firstRow="1" w:lastRow="0" w:firstColumn="1" w:lastColumn="0" w:noHBand="0" w:noVBand="1"/>
      </w:tblPr>
      <w:tblGrid>
        <w:gridCol w:w="8295"/>
      </w:tblGrid>
      <w:tr w:rsidR="00CA66B1" w:rsidRPr="004805C8" w14:paraId="67BA9DBF" w14:textId="77777777" w:rsidTr="004805C8">
        <w:trPr>
          <w:cantSplit/>
        </w:trPr>
        <w:tc>
          <w:tcPr>
            <w:tcW w:w="8295" w:type="dxa"/>
            <w:tcBorders>
              <w:bottom w:val="single" w:sz="12" w:space="0" w:color="22B893"/>
            </w:tcBorders>
            <w:shd w:val="clear" w:color="auto" w:fill="EAF5F0"/>
          </w:tcPr>
          <w:p w14:paraId="0B697503" w14:textId="77777777" w:rsidR="00CA66B1" w:rsidRPr="004805C8" w:rsidRDefault="004805C8" w:rsidP="004805C8">
            <w:pPr>
              <w:pStyle w:val="TableText"/>
              <w:keepNext/>
              <w:spacing w:before="120"/>
              <w:rPr>
                <w:b/>
                <w:sz w:val="20"/>
              </w:rPr>
            </w:pPr>
            <w:r w:rsidRPr="004805C8">
              <w:rPr>
                <w:b/>
                <w:sz w:val="20"/>
              </w:rPr>
              <w:lastRenderedPageBreak/>
              <w:t>Summary of options to prevent cancers related to tobacco exposure</w:t>
            </w:r>
          </w:p>
        </w:tc>
      </w:tr>
      <w:tr w:rsidR="00CA66B1" w14:paraId="379DDC58" w14:textId="77777777" w:rsidTr="004805C8">
        <w:trPr>
          <w:cantSplit/>
        </w:trPr>
        <w:tc>
          <w:tcPr>
            <w:tcW w:w="8295" w:type="dxa"/>
            <w:tcBorders>
              <w:top w:val="single" w:sz="12" w:space="0" w:color="22B893"/>
            </w:tcBorders>
            <w:shd w:val="clear" w:color="auto" w:fill="EAF5F0"/>
          </w:tcPr>
          <w:p w14:paraId="7D42A849" w14:textId="77777777" w:rsidR="004805C8" w:rsidRPr="00C000B2" w:rsidRDefault="004805C8" w:rsidP="004805C8">
            <w:pPr>
              <w:pStyle w:val="TableBullet"/>
            </w:pPr>
            <w:r w:rsidRPr="00C000B2">
              <w:t>Reduce the availability of tobacco.</w:t>
            </w:r>
          </w:p>
          <w:p w14:paraId="013EFB0C" w14:textId="77777777" w:rsidR="004805C8" w:rsidRPr="00C000B2" w:rsidRDefault="004805C8" w:rsidP="004805C8">
            <w:pPr>
              <w:pStyle w:val="TableDash"/>
            </w:pPr>
            <w:r w:rsidRPr="00C000B2">
              <w:t>Restrict the number and density of outlets that can sell tobacco.</w:t>
            </w:r>
          </w:p>
          <w:p w14:paraId="6831BF04" w14:textId="77777777" w:rsidR="004805C8" w:rsidRPr="00C000B2" w:rsidRDefault="004805C8" w:rsidP="004805C8">
            <w:pPr>
              <w:pStyle w:val="TableBullet"/>
            </w:pPr>
            <w:r w:rsidRPr="00C000B2">
              <w:t>Reduce the addictiveness and palatability of tobacco.</w:t>
            </w:r>
          </w:p>
          <w:p w14:paraId="5779FD7B" w14:textId="77777777" w:rsidR="004805C8" w:rsidRPr="00C000B2" w:rsidRDefault="004805C8" w:rsidP="004805C8">
            <w:pPr>
              <w:pStyle w:val="TableDash"/>
            </w:pPr>
            <w:r w:rsidRPr="00C000B2">
              <w:t xml:space="preserve">Introduce legislative restrictions on the amount of nicotine in cigarettes and the use of additives, flavours, </w:t>
            </w:r>
            <w:proofErr w:type="gramStart"/>
            <w:r w:rsidRPr="00C000B2">
              <w:t>filters</w:t>
            </w:r>
            <w:proofErr w:type="gramEnd"/>
            <w:r w:rsidRPr="00C000B2">
              <w:t xml:space="preserve"> and design innovations.</w:t>
            </w:r>
          </w:p>
          <w:p w14:paraId="7DFE34BE" w14:textId="77777777" w:rsidR="004805C8" w:rsidRPr="00C000B2" w:rsidRDefault="004805C8" w:rsidP="004805C8">
            <w:pPr>
              <w:pStyle w:val="TableBullet"/>
            </w:pPr>
            <w:r w:rsidRPr="00C000B2">
              <w:t>Reduce the appeal and accessibility of tobacco for youth and young adults.</w:t>
            </w:r>
          </w:p>
          <w:p w14:paraId="1C3A4DCB" w14:textId="77777777" w:rsidR="004805C8" w:rsidRPr="00C000B2" w:rsidRDefault="004805C8" w:rsidP="004805C8">
            <w:pPr>
              <w:pStyle w:val="TableDash"/>
            </w:pPr>
            <w:r w:rsidRPr="00C000B2">
              <w:t xml:space="preserve">Increase the purchasing age for tobacco by one year each year (creating a </w:t>
            </w:r>
            <w:proofErr w:type="spellStart"/>
            <w:r w:rsidRPr="00C000B2">
              <w:t>smokefree</w:t>
            </w:r>
            <w:proofErr w:type="spellEnd"/>
            <w:r w:rsidRPr="00C000B2">
              <w:t>/ tobacco-free generation).</w:t>
            </w:r>
          </w:p>
          <w:p w14:paraId="03C72676" w14:textId="77777777" w:rsidR="004805C8" w:rsidRPr="00C000B2" w:rsidRDefault="004805C8" w:rsidP="004805C8">
            <w:pPr>
              <w:pStyle w:val="TableDash"/>
            </w:pPr>
            <w:r w:rsidRPr="00C000B2">
              <w:t>Prohibit smoking in outdoor areas of bars and restaurants.</w:t>
            </w:r>
          </w:p>
          <w:p w14:paraId="0A1B3BD0" w14:textId="77777777" w:rsidR="004805C8" w:rsidRPr="00C000B2" w:rsidRDefault="004805C8" w:rsidP="004805C8">
            <w:pPr>
              <w:pStyle w:val="TableDash"/>
            </w:pPr>
            <w:r w:rsidRPr="00C000B2">
              <w:t>Restrict tobacco product placement across all media forms.</w:t>
            </w:r>
          </w:p>
          <w:p w14:paraId="51D23DDA" w14:textId="77777777" w:rsidR="004805C8" w:rsidRPr="00C000B2" w:rsidRDefault="004805C8" w:rsidP="004805C8">
            <w:pPr>
              <w:pStyle w:val="TableBullet"/>
            </w:pPr>
            <w:r w:rsidRPr="00C000B2">
              <w:t>Decrease acceptability of (or denormalise) smoking in outdoor spaces.</w:t>
            </w:r>
          </w:p>
          <w:p w14:paraId="099BC33E" w14:textId="77777777" w:rsidR="00CA66B1" w:rsidRDefault="004805C8" w:rsidP="004805C8">
            <w:pPr>
              <w:pStyle w:val="TableDash"/>
            </w:pPr>
            <w:r w:rsidRPr="00C000B2">
              <w:t>Introduce comprehensive restrictions on smoking in outdoor spaces.</w:t>
            </w:r>
          </w:p>
        </w:tc>
      </w:tr>
    </w:tbl>
    <w:p w14:paraId="3E1AE600" w14:textId="77777777" w:rsidR="00CA66B1" w:rsidRDefault="00CA66B1" w:rsidP="00AB3864">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D33D6B" w14:paraId="1E3E6462" w14:textId="77777777" w:rsidTr="00D657A2">
        <w:trPr>
          <w:cantSplit/>
        </w:trPr>
        <w:tc>
          <w:tcPr>
            <w:tcW w:w="426" w:type="dxa"/>
            <w:tcBorders>
              <w:right w:val="single" w:sz="48" w:space="0" w:color="FFFFFF" w:themeColor="background1"/>
            </w:tcBorders>
            <w:shd w:val="clear" w:color="auto" w:fill="22B893"/>
          </w:tcPr>
          <w:p w14:paraId="28F65329" w14:textId="77777777" w:rsidR="00D33D6B" w:rsidRDefault="00D33D6B" w:rsidP="00D657A2"/>
        </w:tc>
        <w:tc>
          <w:tcPr>
            <w:tcW w:w="7371" w:type="dxa"/>
            <w:gridSpan w:val="2"/>
          </w:tcPr>
          <w:p w14:paraId="0CE1187A" w14:textId="77777777" w:rsidR="00D33D6B" w:rsidRPr="00465AE2" w:rsidRDefault="00D33D6B" w:rsidP="00D657A2">
            <w:pPr>
              <w:pStyle w:val="TableText"/>
              <w:rPr>
                <w:sz w:val="22"/>
                <w:szCs w:val="22"/>
              </w:rPr>
            </w:pPr>
            <w:r w:rsidRPr="00465AE2">
              <w:rPr>
                <w:b/>
                <w:sz w:val="22"/>
                <w:szCs w:val="22"/>
              </w:rPr>
              <w:t xml:space="preserve">Focus area: </w:t>
            </w:r>
            <w:r w:rsidRPr="00AB3864">
              <w:rPr>
                <w:sz w:val="22"/>
                <w:szCs w:val="22"/>
              </w:rPr>
              <w:t>Reduce the availability of tobacco</w:t>
            </w:r>
          </w:p>
          <w:p w14:paraId="3274A5DC" w14:textId="77777777" w:rsidR="00D33D6B" w:rsidRPr="00AB3864" w:rsidRDefault="00D33D6B" w:rsidP="00D33D6B">
            <w:pPr>
              <w:spacing w:before="120"/>
            </w:pPr>
            <w:r w:rsidRPr="00AB3864">
              <w:t>What do we know about the impact of tobacco being widely available?</w:t>
            </w:r>
          </w:p>
          <w:p w14:paraId="400BC2D6" w14:textId="77777777" w:rsidR="00D33D6B" w:rsidRDefault="00D33D6B" w:rsidP="00D33D6B">
            <w:pPr>
              <w:pStyle w:val="TableText"/>
            </w:pPr>
            <w:r w:rsidRPr="00C000B2">
              <w:t>Adolescent smoking becomes more common as the density of tobacco retailers increases,</w:t>
            </w:r>
            <w:r w:rsidRPr="004805C8">
              <w:rPr>
                <w:vertAlign w:val="superscript"/>
              </w:rPr>
              <w:t>54,</w:t>
            </w:r>
            <w:r>
              <w:rPr>
                <w:vertAlign w:val="superscript"/>
              </w:rPr>
              <w:t xml:space="preserve"> </w:t>
            </w:r>
            <w:r w:rsidRPr="004805C8">
              <w:rPr>
                <w:vertAlign w:val="superscript"/>
              </w:rPr>
              <w:t>55</w:t>
            </w:r>
            <w:r w:rsidRPr="00C000B2">
              <w:t xml:space="preserve"> especially with greater density around schools.</w:t>
            </w:r>
            <w:r w:rsidRPr="004805C8">
              <w:rPr>
                <w:vertAlign w:val="superscript"/>
              </w:rPr>
              <w:t>56</w:t>
            </w:r>
            <w:r w:rsidRPr="00C000B2">
              <w:t xml:space="preserve"> Higher outlet density normalises tobacco use, increases its acceptability, and can reduce the likelihood of successful smoking cessation.</w:t>
            </w:r>
            <w:r w:rsidRPr="004805C8">
              <w:rPr>
                <w:vertAlign w:val="superscript"/>
              </w:rPr>
              <w:t>57,</w:t>
            </w:r>
            <w:r>
              <w:rPr>
                <w:vertAlign w:val="superscript"/>
              </w:rPr>
              <w:t xml:space="preserve"> </w:t>
            </w:r>
            <w:r w:rsidRPr="004805C8">
              <w:rPr>
                <w:vertAlign w:val="superscript"/>
              </w:rPr>
              <w:t>58</w:t>
            </w:r>
          </w:p>
        </w:tc>
      </w:tr>
      <w:tr w:rsidR="00D33D6B" w14:paraId="7736BA6F" w14:textId="77777777" w:rsidTr="00D657A2">
        <w:trPr>
          <w:cantSplit/>
        </w:trPr>
        <w:tc>
          <w:tcPr>
            <w:tcW w:w="426" w:type="dxa"/>
            <w:tcBorders>
              <w:right w:val="single" w:sz="48" w:space="0" w:color="FFFFFF" w:themeColor="background1"/>
            </w:tcBorders>
            <w:shd w:val="clear" w:color="auto" w:fill="22B893"/>
          </w:tcPr>
          <w:p w14:paraId="5A9DD8DE" w14:textId="77777777" w:rsidR="00D33D6B" w:rsidRDefault="00D33D6B" w:rsidP="00D657A2"/>
        </w:tc>
        <w:tc>
          <w:tcPr>
            <w:tcW w:w="304" w:type="dxa"/>
            <w:shd w:val="clear" w:color="auto" w:fill="F37973"/>
          </w:tcPr>
          <w:p w14:paraId="7495B19C" w14:textId="77777777" w:rsidR="00D33D6B" w:rsidRPr="0029210A" w:rsidRDefault="00D33D6B" w:rsidP="00D657A2">
            <w:pPr>
              <w:pStyle w:val="TableText"/>
            </w:pPr>
          </w:p>
        </w:tc>
        <w:tc>
          <w:tcPr>
            <w:tcW w:w="7067" w:type="dxa"/>
          </w:tcPr>
          <w:p w14:paraId="2DCB9C44" w14:textId="77777777" w:rsidR="00D33D6B" w:rsidRPr="0029210A" w:rsidRDefault="00D33D6B" w:rsidP="00D657A2">
            <w:pPr>
              <w:pStyle w:val="TableText"/>
              <w:ind w:left="113"/>
            </w:pPr>
            <w:r w:rsidRPr="00C000B2">
              <w:t>Nationally and internationally, socioeconomically deprived areas tend to have more tobacco outlets than other areas.</w:t>
            </w:r>
            <w:r w:rsidRPr="004805C8">
              <w:rPr>
                <w:vertAlign w:val="superscript"/>
              </w:rPr>
              <w:t>57,</w:t>
            </w:r>
            <w:r>
              <w:rPr>
                <w:vertAlign w:val="superscript"/>
              </w:rPr>
              <w:t xml:space="preserve"> </w:t>
            </w:r>
            <w:r w:rsidRPr="004805C8">
              <w:rPr>
                <w:vertAlign w:val="superscript"/>
              </w:rPr>
              <w:t>59,</w:t>
            </w:r>
            <w:r>
              <w:rPr>
                <w:vertAlign w:val="superscript"/>
              </w:rPr>
              <w:t xml:space="preserve"> </w:t>
            </w:r>
            <w:r w:rsidRPr="004805C8">
              <w:rPr>
                <w:vertAlign w:val="superscript"/>
              </w:rPr>
              <w:t>60</w:t>
            </w:r>
          </w:p>
        </w:tc>
      </w:tr>
    </w:tbl>
    <w:p w14:paraId="099B3D72" w14:textId="77777777" w:rsidR="00D33D6B" w:rsidRPr="00C000B2" w:rsidRDefault="00D33D6B" w:rsidP="00AB3864">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3402"/>
      </w:tblGrid>
      <w:tr w:rsidR="00AB3864" w:rsidRPr="00AB3864" w14:paraId="0CF26E9B" w14:textId="77777777" w:rsidTr="00AB3864">
        <w:trPr>
          <w:cantSplit/>
        </w:trPr>
        <w:tc>
          <w:tcPr>
            <w:tcW w:w="8080" w:type="dxa"/>
            <w:gridSpan w:val="2"/>
            <w:tcBorders>
              <w:bottom w:val="nil"/>
            </w:tcBorders>
            <w:shd w:val="clear" w:color="auto" w:fill="D7EDE4"/>
          </w:tcPr>
          <w:p w14:paraId="2391017A" w14:textId="77777777" w:rsidR="00AB3864" w:rsidRPr="00AB3864" w:rsidRDefault="00AB3864" w:rsidP="00990345">
            <w:pPr>
              <w:pStyle w:val="TableText"/>
              <w:spacing w:before="120"/>
              <w:rPr>
                <w:b/>
                <w:sz w:val="22"/>
                <w:szCs w:val="22"/>
              </w:rPr>
            </w:pPr>
            <w:r w:rsidRPr="00AB3864">
              <w:rPr>
                <w:b/>
                <w:sz w:val="22"/>
                <w:szCs w:val="22"/>
              </w:rPr>
              <w:t xml:space="preserve">Action: </w:t>
            </w:r>
            <w:r w:rsidRPr="00AB3864">
              <w:rPr>
                <w:sz w:val="22"/>
                <w:szCs w:val="22"/>
              </w:rPr>
              <w:t>Restrict the number and density of outlets that can sell tobacco</w:t>
            </w:r>
          </w:p>
        </w:tc>
      </w:tr>
      <w:tr w:rsidR="00AB3864" w14:paraId="44C16116" w14:textId="77777777" w:rsidTr="00AB3864">
        <w:trPr>
          <w:cantSplit/>
        </w:trPr>
        <w:tc>
          <w:tcPr>
            <w:tcW w:w="4678" w:type="dxa"/>
            <w:tcBorders>
              <w:top w:val="nil"/>
              <w:bottom w:val="single" w:sz="8" w:space="0" w:color="22B893"/>
              <w:right w:val="dashed" w:sz="4" w:space="0" w:color="22B893"/>
            </w:tcBorders>
          </w:tcPr>
          <w:p w14:paraId="4B89D626" w14:textId="77777777" w:rsidR="00AB3864" w:rsidRPr="00AB3864" w:rsidRDefault="00AB3864" w:rsidP="00AB3864">
            <w:pPr>
              <w:pStyle w:val="TableText"/>
              <w:ind w:right="142"/>
              <w:rPr>
                <w:sz w:val="20"/>
              </w:rPr>
            </w:pPr>
            <w:r w:rsidRPr="00AB3864">
              <w:rPr>
                <w:sz w:val="20"/>
              </w:rPr>
              <w:t>What is the evidence?</w:t>
            </w:r>
          </w:p>
          <w:p w14:paraId="01E93F3C" w14:textId="77777777" w:rsidR="00AB3864" w:rsidRPr="00C000B2" w:rsidRDefault="00AB3864" w:rsidP="00AB3864">
            <w:pPr>
              <w:pStyle w:val="TableText"/>
              <w:ind w:right="113"/>
            </w:pPr>
            <w:r w:rsidRPr="00C000B2">
              <w:t>Interventions to reduce tobacco outlet density include using a mix of strategies together, such as reducing the number of outlets, licensing and restricting tobacco sales to specific outlets. For example, licensing can reduce tobacco outlet density when it involves a higher fee and can restrict the number or location of outlets.</w:t>
            </w:r>
            <w:r w:rsidRPr="00AB3864">
              <w:rPr>
                <w:vertAlign w:val="superscript"/>
              </w:rPr>
              <w:t>61,</w:t>
            </w:r>
            <w:r>
              <w:rPr>
                <w:vertAlign w:val="superscript"/>
              </w:rPr>
              <w:t> </w:t>
            </w:r>
            <w:r w:rsidRPr="00AB3864">
              <w:rPr>
                <w:vertAlign w:val="superscript"/>
              </w:rPr>
              <w:t>62</w:t>
            </w:r>
            <w:r w:rsidRPr="00C000B2">
              <w:t xml:space="preserve"> Aotearoa modelling studies show that interventions to reduce tobacco outlet density are highly likely to reduce smoking prevalence, improve health outcomes and be cost-saving.</w:t>
            </w:r>
            <w:r w:rsidRPr="00AB3864">
              <w:rPr>
                <w:vertAlign w:val="superscript"/>
              </w:rPr>
              <w:t>63</w:t>
            </w:r>
            <w:r>
              <w:rPr>
                <w:vertAlign w:val="superscript"/>
              </w:rPr>
              <w:t>–</w:t>
            </w:r>
            <w:r w:rsidRPr="00AB3864">
              <w:rPr>
                <w:vertAlign w:val="superscript"/>
              </w:rPr>
              <w:t>66</w:t>
            </w:r>
          </w:p>
          <w:p w14:paraId="6C2B8296" w14:textId="77777777" w:rsidR="00AB3864" w:rsidRDefault="00AB3864" w:rsidP="00AB3864">
            <w:pPr>
              <w:pStyle w:val="TableText"/>
              <w:ind w:right="113"/>
            </w:pPr>
            <w:r w:rsidRPr="00C000B2">
              <w:t>Hungary enacted legislation in 2013 mandating that tobacco could only be sold at a limited number of government-licensed outlets, reducing the number of tobacco outlets from 42,000 to 7,000.</w:t>
            </w:r>
            <w:r w:rsidRPr="00AB3864">
              <w:rPr>
                <w:vertAlign w:val="superscript"/>
              </w:rPr>
              <w:t>67</w:t>
            </w:r>
            <w:r>
              <w:t xml:space="preserve"> </w:t>
            </w:r>
            <w:r w:rsidRPr="00C000B2">
              <w:t>In 2020, the Netherlands passed legislation to ban tobacco sales in supermarkets and petrol stations.</w:t>
            </w:r>
            <w:r w:rsidRPr="00AB3864">
              <w:rPr>
                <w:vertAlign w:val="superscript"/>
              </w:rPr>
              <w:t>68</w:t>
            </w:r>
            <w:r w:rsidRPr="00C000B2">
              <w:t xml:space="preserve"> Many countries (such as Canada, Australia, </w:t>
            </w:r>
            <w:proofErr w:type="gramStart"/>
            <w:r w:rsidRPr="00C000B2">
              <w:t>Scotland</w:t>
            </w:r>
            <w:proofErr w:type="gramEnd"/>
            <w:r w:rsidRPr="00C000B2">
              <w:t xml:space="preserve"> and Ireland) and some states in the</w:t>
            </w:r>
            <w:r>
              <w:t xml:space="preserve"> </w:t>
            </w:r>
            <w:r w:rsidRPr="00C000B2">
              <w:t>USA require tobacco outlets to be licensed.</w:t>
            </w:r>
            <w:r w:rsidRPr="00AB3864">
              <w:rPr>
                <w:vertAlign w:val="superscript"/>
              </w:rPr>
              <w:t>61,</w:t>
            </w:r>
            <w:r>
              <w:rPr>
                <w:vertAlign w:val="superscript"/>
              </w:rPr>
              <w:t> </w:t>
            </w:r>
            <w:r w:rsidRPr="00AB3864">
              <w:rPr>
                <w:vertAlign w:val="superscript"/>
              </w:rPr>
              <w:t>62,</w:t>
            </w:r>
            <w:r>
              <w:rPr>
                <w:vertAlign w:val="superscript"/>
              </w:rPr>
              <w:t> </w:t>
            </w:r>
            <w:r w:rsidRPr="00AB3864">
              <w:rPr>
                <w:vertAlign w:val="superscript"/>
              </w:rPr>
              <w:t>69</w:t>
            </w:r>
          </w:p>
        </w:tc>
        <w:tc>
          <w:tcPr>
            <w:tcW w:w="3402" w:type="dxa"/>
            <w:tcBorders>
              <w:top w:val="nil"/>
              <w:left w:val="dashed" w:sz="4" w:space="0" w:color="22B893"/>
              <w:bottom w:val="single" w:sz="8" w:space="0" w:color="22B893"/>
            </w:tcBorders>
          </w:tcPr>
          <w:p w14:paraId="5C3DB1A0" w14:textId="77777777" w:rsidR="00AB3864" w:rsidRPr="00AB3864" w:rsidRDefault="00AB3864" w:rsidP="00AB3864">
            <w:pPr>
              <w:pStyle w:val="TableText"/>
              <w:ind w:left="113"/>
              <w:rPr>
                <w:sz w:val="20"/>
              </w:rPr>
            </w:pPr>
            <w:r w:rsidRPr="00AB3864">
              <w:rPr>
                <w:sz w:val="20"/>
              </w:rPr>
              <w:t>What is Aotearoa doing currently?</w:t>
            </w:r>
          </w:p>
          <w:p w14:paraId="45D41EB7" w14:textId="77777777" w:rsidR="00AB3864" w:rsidRPr="00C000B2" w:rsidRDefault="00AB3864" w:rsidP="00AB3864">
            <w:pPr>
              <w:pStyle w:val="TableText"/>
              <w:ind w:left="113"/>
            </w:pPr>
            <w:r w:rsidRPr="00C000B2">
              <w:t>Currently Aotearoa has no restrictions on who can sell tobacco and where tobacco can be sold. Retailers are</w:t>
            </w:r>
            <w:r>
              <w:t xml:space="preserve"> </w:t>
            </w:r>
            <w:r w:rsidRPr="00C000B2">
              <w:t>not required to have a licence to sell tobacco.</w:t>
            </w:r>
          </w:p>
          <w:p w14:paraId="75AB3947" w14:textId="77777777" w:rsidR="00AB3864" w:rsidRDefault="00AB3864" w:rsidP="00AB3864">
            <w:pPr>
              <w:pStyle w:val="TableText"/>
              <w:ind w:left="113"/>
            </w:pPr>
            <w:r w:rsidRPr="00C000B2">
              <w:t xml:space="preserve">A key action in the </w:t>
            </w:r>
            <w:proofErr w:type="spellStart"/>
            <w:r w:rsidRPr="00C000B2">
              <w:rPr>
                <w:i/>
              </w:rPr>
              <w:t>Smokefree</w:t>
            </w:r>
            <w:proofErr w:type="spellEnd"/>
            <w:r w:rsidRPr="00C000B2">
              <w:rPr>
                <w:i/>
              </w:rPr>
              <w:t xml:space="preserve"> Aotearoa 2025 Action Plan </w:t>
            </w:r>
            <w:r w:rsidRPr="00C000B2">
              <w:t>is to introduce</w:t>
            </w:r>
            <w:r>
              <w:t xml:space="preserve"> </w:t>
            </w:r>
            <w:r w:rsidRPr="00C000B2">
              <w:t>an amendment Bill to only allow smoked tobacco products to be sold by authorised retailers, in order to decrease the number of retailers and</w:t>
            </w:r>
            <w:r>
              <w:t xml:space="preserve"> </w:t>
            </w:r>
            <w:r w:rsidRPr="00C000B2">
              <w:t>ensure retail supply is not concentrated in the most deprived neighbourhoods.</w:t>
            </w:r>
            <w:r w:rsidRPr="00AB3864">
              <w:rPr>
                <w:vertAlign w:val="superscript"/>
              </w:rPr>
              <w:t>53</w:t>
            </w:r>
          </w:p>
        </w:tc>
      </w:tr>
    </w:tbl>
    <w:p w14:paraId="49B6726B" w14:textId="77777777" w:rsidR="00EF27EC" w:rsidRPr="00C000B2" w:rsidRDefault="00EF27EC" w:rsidP="0029210A">
      <w:pPr>
        <w:spacing w:after="240"/>
      </w:pPr>
      <w:r w:rsidRPr="00C000B2">
        <w:rPr>
          <w:noProof/>
          <w:lang w:eastAsia="en-NZ"/>
        </w:rPr>
        <mc:AlternateContent>
          <mc:Choice Requires="wps">
            <w:drawing>
              <wp:anchor distT="0" distB="0" distL="114300" distR="114300" simplePos="0" relativeHeight="252039168" behindDoc="1" locked="0" layoutInCell="1" allowOverlap="1" wp14:anchorId="70578663" wp14:editId="04C50C29">
                <wp:simplePos x="0" y="0"/>
                <wp:positionH relativeFrom="page">
                  <wp:posOffset>4493895</wp:posOffset>
                </wp:positionH>
                <wp:positionV relativeFrom="page">
                  <wp:posOffset>5739765</wp:posOffset>
                </wp:positionV>
                <wp:extent cx="12700" cy="12700"/>
                <wp:effectExtent l="7620" t="5715" r="8255" b="635"/>
                <wp:wrapNone/>
                <wp:docPr id="1406" name="Freeform 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7077 7077"/>
                            <a:gd name="T1" fmla="*/ T0 w 20"/>
                            <a:gd name="T2" fmla="+- 0 9049 9039"/>
                            <a:gd name="T3" fmla="*/ 9049 h 20"/>
                            <a:gd name="T4" fmla="+- 0 7080 7077"/>
                            <a:gd name="T5" fmla="*/ T4 w 20"/>
                            <a:gd name="T6" fmla="+- 0 9041 9039"/>
                            <a:gd name="T7" fmla="*/ 9041 h 20"/>
                            <a:gd name="T8" fmla="+- 0 7087 7077"/>
                            <a:gd name="T9" fmla="*/ T8 w 20"/>
                            <a:gd name="T10" fmla="+- 0 9039 9039"/>
                            <a:gd name="T11" fmla="*/ 9039 h 20"/>
                            <a:gd name="T12" fmla="+- 0 7094 7077"/>
                            <a:gd name="T13" fmla="*/ T12 w 20"/>
                            <a:gd name="T14" fmla="+- 0 9041 9039"/>
                            <a:gd name="T15" fmla="*/ 9041 h 20"/>
                            <a:gd name="T16" fmla="+- 0 7097 7077"/>
                            <a:gd name="T17" fmla="*/ T16 w 20"/>
                            <a:gd name="T18" fmla="+- 0 9049 9039"/>
                            <a:gd name="T19" fmla="*/ 9049 h 20"/>
                            <a:gd name="T20" fmla="+- 0 7094 7077"/>
                            <a:gd name="T21" fmla="*/ T20 w 20"/>
                            <a:gd name="T22" fmla="+- 0 9056 9039"/>
                            <a:gd name="T23" fmla="*/ 9056 h 20"/>
                            <a:gd name="T24" fmla="+- 0 7087 7077"/>
                            <a:gd name="T25" fmla="*/ T24 w 20"/>
                            <a:gd name="T26" fmla="+- 0 9059 9039"/>
                            <a:gd name="T27" fmla="*/ 9059 h 20"/>
                            <a:gd name="T28" fmla="+- 0 7080 7077"/>
                            <a:gd name="T29" fmla="*/ T28 w 20"/>
                            <a:gd name="T30" fmla="+- 0 9056 9039"/>
                            <a:gd name="T31" fmla="*/ 9056 h 20"/>
                            <a:gd name="T32" fmla="+- 0 7077 7077"/>
                            <a:gd name="T33" fmla="*/ T32 w 20"/>
                            <a:gd name="T34" fmla="+- 0 9049 9039"/>
                            <a:gd name="T35" fmla="*/ 904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7F08" id="Freeform 1406" o:spid="_x0000_s1026" alt="&quot;&quot;" style="position:absolute;margin-left:353.85pt;margin-top:451.95pt;width:1pt;height:1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" path="m,10l3,2,10,r7,2l20,10r-3,7l10,20,3,17,,10xe" fillcolor="#22b893" stroked="f">
                <v:path arrowok="t" o:connecttype="custom" o:connectlocs="0,5746115;1905,5741035;6350,5739765;10795,5741035;12700,5746115;10795,5750560;6350,5752465;1905,5750560;0,5746115" o:connectangles="0,0,0,0,0,0,0,0,0"/>
                <w10:wrap anchorx="page" anchory="page"/>
              </v:shape>
            </w:pict>
          </mc:Fallback>
        </mc:AlternateConten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4"/>
        <w:gridCol w:w="7918"/>
      </w:tblGrid>
      <w:tr w:rsidR="0029210A" w14:paraId="0EECA6A1" w14:textId="77777777" w:rsidTr="0029210A">
        <w:trPr>
          <w:cantSplit/>
        </w:trPr>
        <w:tc>
          <w:tcPr>
            <w:tcW w:w="304" w:type="dxa"/>
            <w:shd w:val="clear" w:color="auto" w:fill="22B893"/>
          </w:tcPr>
          <w:p w14:paraId="77503C26" w14:textId="77777777" w:rsidR="0029210A" w:rsidRDefault="0029210A" w:rsidP="00AB11A2"/>
        </w:tc>
        <w:tc>
          <w:tcPr>
            <w:tcW w:w="7918" w:type="dxa"/>
          </w:tcPr>
          <w:p w14:paraId="5C20705E" w14:textId="77777777" w:rsidR="0029210A" w:rsidRPr="0029210A" w:rsidRDefault="0029210A" w:rsidP="0029210A">
            <w:pPr>
              <w:pStyle w:val="TableText"/>
              <w:ind w:left="113"/>
              <w:rPr>
                <w:sz w:val="22"/>
                <w:szCs w:val="22"/>
              </w:rPr>
            </w:pPr>
            <w:r w:rsidRPr="0029210A">
              <w:rPr>
                <w:b/>
                <w:sz w:val="22"/>
                <w:szCs w:val="22"/>
              </w:rPr>
              <w:t xml:space="preserve">Focus area: </w:t>
            </w:r>
            <w:r w:rsidRPr="0029210A">
              <w:rPr>
                <w:sz w:val="22"/>
                <w:szCs w:val="22"/>
              </w:rPr>
              <w:t>Reduce the addictiveness and palatability of tobacco</w:t>
            </w:r>
          </w:p>
          <w:p w14:paraId="6383BC02" w14:textId="77777777" w:rsidR="0029210A" w:rsidRPr="0029210A" w:rsidRDefault="0029210A" w:rsidP="0029210A">
            <w:pPr>
              <w:pStyle w:val="TableText"/>
              <w:ind w:left="113"/>
              <w:rPr>
                <w:sz w:val="20"/>
              </w:rPr>
            </w:pPr>
            <w:r w:rsidRPr="0029210A">
              <w:rPr>
                <w:sz w:val="20"/>
              </w:rPr>
              <w:t xml:space="preserve">What do we know about the impact of adding nicotine, additives, flavours, </w:t>
            </w:r>
            <w:proofErr w:type="gramStart"/>
            <w:r w:rsidRPr="0029210A">
              <w:rPr>
                <w:sz w:val="20"/>
              </w:rPr>
              <w:t>filters</w:t>
            </w:r>
            <w:proofErr w:type="gramEnd"/>
            <w:r w:rsidRPr="0029210A">
              <w:rPr>
                <w:sz w:val="20"/>
              </w:rPr>
              <w:t xml:space="preserve"> and other product changes to cigarettes?</w:t>
            </w:r>
          </w:p>
          <w:p w14:paraId="4FD08E37" w14:textId="77777777" w:rsidR="0029210A" w:rsidRDefault="0029210A" w:rsidP="0029210A">
            <w:pPr>
              <w:pStyle w:val="TableText"/>
              <w:ind w:left="113"/>
            </w:pPr>
            <w:r w:rsidRPr="00C000B2">
              <w:t>Nicotine makes tobacco addictive and is responsible for the dependence associated with tobacco smoking.</w:t>
            </w:r>
            <w:r w:rsidRPr="0029210A">
              <w:rPr>
                <w:vertAlign w:val="superscript"/>
              </w:rPr>
              <w:t>70</w:t>
            </w:r>
            <w:r w:rsidRPr="00C000B2">
              <w:t xml:space="preserve"> Adding nicotine, additives and flavourings to cigarettes makes it more likely that young people’s experimentation with tobacco smoking will progress to regular smoking; and makes it more difficult for smokers to quit and stay quit.</w:t>
            </w:r>
            <w:r w:rsidRPr="0029210A">
              <w:rPr>
                <w:vertAlign w:val="superscript"/>
              </w:rPr>
              <w:t>71,</w:t>
            </w:r>
            <w:r>
              <w:rPr>
                <w:vertAlign w:val="superscript"/>
              </w:rPr>
              <w:t> </w:t>
            </w:r>
            <w:r w:rsidRPr="0029210A">
              <w:rPr>
                <w:vertAlign w:val="superscript"/>
              </w:rPr>
              <w:t>72</w:t>
            </w:r>
            <w:r w:rsidRPr="00C000B2">
              <w:t xml:space="preserve"> Not only do filters provide a false sense of harm reduction,</w:t>
            </w:r>
            <w:r w:rsidRPr="0029210A">
              <w:rPr>
                <w:vertAlign w:val="superscript"/>
              </w:rPr>
              <w:t>73</w:t>
            </w:r>
            <w:r w:rsidRPr="00C000B2">
              <w:t xml:space="preserve"> but filter innovations (such as flavour capsules) attract new young non-smokers to tobacco smoking.</w:t>
            </w:r>
            <w:r w:rsidRPr="0029210A">
              <w:rPr>
                <w:vertAlign w:val="superscript"/>
              </w:rPr>
              <w:t>74,</w:t>
            </w:r>
            <w:r>
              <w:rPr>
                <w:vertAlign w:val="superscript"/>
              </w:rPr>
              <w:t> </w:t>
            </w:r>
            <w:r w:rsidRPr="0029210A">
              <w:rPr>
                <w:vertAlign w:val="superscript"/>
              </w:rPr>
              <w:t>75</w:t>
            </w:r>
          </w:p>
        </w:tc>
      </w:tr>
    </w:tbl>
    <w:p w14:paraId="27C12F61" w14:textId="77777777" w:rsidR="00EF27EC" w:rsidRDefault="00EF27EC" w:rsidP="0029210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3402"/>
      </w:tblGrid>
      <w:tr w:rsidR="0029210A" w:rsidRPr="00AB3864" w14:paraId="68109D3C" w14:textId="77777777" w:rsidTr="00AB11A2">
        <w:trPr>
          <w:cantSplit/>
        </w:trPr>
        <w:tc>
          <w:tcPr>
            <w:tcW w:w="8080" w:type="dxa"/>
            <w:gridSpan w:val="2"/>
            <w:tcBorders>
              <w:bottom w:val="nil"/>
            </w:tcBorders>
            <w:shd w:val="clear" w:color="auto" w:fill="D7EDE4"/>
          </w:tcPr>
          <w:p w14:paraId="39435B41" w14:textId="77777777" w:rsidR="0029210A" w:rsidRPr="00AB3864" w:rsidRDefault="0029210A" w:rsidP="00990345">
            <w:pPr>
              <w:pStyle w:val="TableText"/>
              <w:spacing w:before="120"/>
              <w:rPr>
                <w:b/>
                <w:sz w:val="22"/>
                <w:szCs w:val="22"/>
              </w:rPr>
            </w:pPr>
            <w:r w:rsidRPr="00AB3864">
              <w:rPr>
                <w:b/>
                <w:sz w:val="22"/>
                <w:szCs w:val="22"/>
              </w:rPr>
              <w:t xml:space="preserve">Action: </w:t>
            </w:r>
            <w:r w:rsidR="00AB11A2" w:rsidRPr="00AB11A2">
              <w:rPr>
                <w:sz w:val="22"/>
                <w:szCs w:val="22"/>
              </w:rPr>
              <w:t xml:space="preserve">Introduce legislative restrictions on the amount of nicotine in cigarettes and the use of additives, flavours, </w:t>
            </w:r>
            <w:proofErr w:type="gramStart"/>
            <w:r w:rsidR="00AB11A2" w:rsidRPr="00AB11A2">
              <w:rPr>
                <w:sz w:val="22"/>
                <w:szCs w:val="22"/>
              </w:rPr>
              <w:t>filters</w:t>
            </w:r>
            <w:proofErr w:type="gramEnd"/>
            <w:r w:rsidR="00AB11A2" w:rsidRPr="00AB11A2">
              <w:rPr>
                <w:sz w:val="22"/>
                <w:szCs w:val="22"/>
              </w:rPr>
              <w:t xml:space="preserve"> and design innovations</w:t>
            </w:r>
          </w:p>
        </w:tc>
      </w:tr>
      <w:tr w:rsidR="0029210A" w14:paraId="36E63947" w14:textId="77777777" w:rsidTr="00AB11A2">
        <w:trPr>
          <w:cantSplit/>
        </w:trPr>
        <w:tc>
          <w:tcPr>
            <w:tcW w:w="4678" w:type="dxa"/>
            <w:tcBorders>
              <w:top w:val="nil"/>
              <w:bottom w:val="single" w:sz="8" w:space="0" w:color="22B893"/>
              <w:right w:val="dashed" w:sz="4" w:space="0" w:color="22B893"/>
            </w:tcBorders>
          </w:tcPr>
          <w:p w14:paraId="606CF1B8" w14:textId="77777777" w:rsidR="0029210A" w:rsidRPr="00AB3864" w:rsidRDefault="0029210A" w:rsidP="00990345">
            <w:pPr>
              <w:pStyle w:val="TableText"/>
              <w:ind w:right="113"/>
              <w:rPr>
                <w:sz w:val="20"/>
              </w:rPr>
            </w:pPr>
            <w:r w:rsidRPr="00AB3864">
              <w:rPr>
                <w:sz w:val="20"/>
              </w:rPr>
              <w:t>What is the evidence?</w:t>
            </w:r>
          </w:p>
          <w:p w14:paraId="4E820166" w14:textId="77777777" w:rsidR="00AB11A2" w:rsidRPr="00C000B2" w:rsidRDefault="00AB11A2" w:rsidP="00990345">
            <w:pPr>
              <w:pStyle w:val="TableText"/>
              <w:ind w:right="113"/>
            </w:pPr>
            <w:r w:rsidRPr="00C000B2">
              <w:t>Very low nicotine cigarettes (VLNCs) can reduce the number of cigarettes smoked per day and encourage more people to quit, as most smokers who are provided with VLNCs find them unsatisfying and so reduce the number of cigarettes they smoke.</w:t>
            </w:r>
            <w:r w:rsidRPr="00AB11A2">
              <w:rPr>
                <w:vertAlign w:val="superscript"/>
              </w:rPr>
              <w:t>72,</w:t>
            </w:r>
            <w:r>
              <w:rPr>
                <w:vertAlign w:val="superscript"/>
              </w:rPr>
              <w:t> </w:t>
            </w:r>
            <w:r w:rsidRPr="00AB11A2">
              <w:rPr>
                <w:vertAlign w:val="superscript"/>
              </w:rPr>
              <w:t>76,</w:t>
            </w:r>
            <w:r>
              <w:rPr>
                <w:vertAlign w:val="superscript"/>
              </w:rPr>
              <w:t> </w:t>
            </w:r>
            <w:r w:rsidRPr="00AB11A2">
              <w:rPr>
                <w:vertAlign w:val="superscript"/>
              </w:rPr>
              <w:t>77</w:t>
            </w:r>
            <w:r w:rsidRPr="00C000B2">
              <w:t xml:space="preserve"> Early evidence in Aotearoa shows that for people who smoke, VLNCs without filters were less acceptable than VLNCs with filters, indicating that banning filters as well would have a synergistic effect.</w:t>
            </w:r>
            <w:r w:rsidRPr="00AB11A2">
              <w:rPr>
                <w:vertAlign w:val="superscript"/>
              </w:rPr>
              <w:t>78</w:t>
            </w:r>
          </w:p>
          <w:p w14:paraId="6C7C92EC" w14:textId="77777777" w:rsidR="00AB11A2" w:rsidRPr="00C000B2" w:rsidRDefault="00AB11A2" w:rsidP="00990345">
            <w:pPr>
              <w:pStyle w:val="TableText"/>
              <w:ind w:right="113"/>
            </w:pPr>
            <w:r w:rsidRPr="00C000B2">
              <w:t>A survey of Aotearoa smokers and recent quitters in 2016/17 found that 80 percent supported legislation to restrict the amount of nicotine in cigarettes and tobacco if nicotine was available in alternative products (such as e-cigarettes).</w:t>
            </w:r>
            <w:r w:rsidRPr="00AB11A2">
              <w:rPr>
                <w:vertAlign w:val="superscript"/>
              </w:rPr>
              <w:t>79</w:t>
            </w:r>
          </w:p>
          <w:p w14:paraId="021D6505" w14:textId="77777777" w:rsidR="0029210A" w:rsidRDefault="00AB11A2" w:rsidP="00990345">
            <w:pPr>
              <w:pStyle w:val="TableText"/>
              <w:ind w:right="113"/>
            </w:pPr>
            <w:r w:rsidRPr="00C000B2">
              <w:t>While no country has implemented a VLNC policy yet, the United States Food and Drug Administration set out its intention to do so in 2018.</w:t>
            </w:r>
            <w:r w:rsidRPr="00AB11A2">
              <w:rPr>
                <w:vertAlign w:val="superscript"/>
              </w:rPr>
              <w:t>80</w:t>
            </w:r>
          </w:p>
        </w:tc>
        <w:tc>
          <w:tcPr>
            <w:tcW w:w="3402" w:type="dxa"/>
            <w:tcBorders>
              <w:top w:val="nil"/>
              <w:left w:val="dashed" w:sz="4" w:space="0" w:color="22B893"/>
              <w:bottom w:val="single" w:sz="8" w:space="0" w:color="22B893"/>
            </w:tcBorders>
          </w:tcPr>
          <w:p w14:paraId="3CB918E7" w14:textId="77777777" w:rsidR="0029210A" w:rsidRPr="00AB3864" w:rsidRDefault="0029210A" w:rsidP="00AB11A2">
            <w:pPr>
              <w:pStyle w:val="TableText"/>
              <w:ind w:left="113"/>
              <w:rPr>
                <w:sz w:val="20"/>
              </w:rPr>
            </w:pPr>
            <w:r w:rsidRPr="00AB3864">
              <w:rPr>
                <w:sz w:val="20"/>
              </w:rPr>
              <w:t>What is Aotearoa doing currently?</w:t>
            </w:r>
          </w:p>
          <w:p w14:paraId="23FD3694" w14:textId="77777777" w:rsidR="00990345" w:rsidRPr="00C000B2" w:rsidRDefault="00990345" w:rsidP="00990345">
            <w:pPr>
              <w:pStyle w:val="TableText"/>
              <w:ind w:left="113"/>
            </w:pPr>
            <w:r w:rsidRPr="00C000B2">
              <w:t>Aotearoa currently has no restrictions on the amount of nicotine that cigarettes can contain.</w:t>
            </w:r>
          </w:p>
          <w:p w14:paraId="4423A262" w14:textId="77777777" w:rsidR="00990345" w:rsidRPr="00C000B2" w:rsidRDefault="00990345" w:rsidP="00990345">
            <w:pPr>
              <w:pStyle w:val="TableText"/>
              <w:ind w:left="113"/>
            </w:pPr>
            <w:r w:rsidRPr="00C000B2">
              <w:t xml:space="preserve">There are also no restrictions on additives, </w:t>
            </w:r>
            <w:proofErr w:type="gramStart"/>
            <w:r w:rsidRPr="00C000B2">
              <w:t>flavours</w:t>
            </w:r>
            <w:proofErr w:type="gramEnd"/>
            <w:r w:rsidRPr="00C000B2">
              <w:t xml:space="preserve"> or the use of filters.</w:t>
            </w:r>
          </w:p>
          <w:p w14:paraId="2619628B" w14:textId="77777777" w:rsidR="0029210A" w:rsidRDefault="00990345" w:rsidP="00990345">
            <w:pPr>
              <w:pStyle w:val="TableText"/>
              <w:ind w:left="113"/>
            </w:pPr>
            <w:r w:rsidRPr="00C000B2">
              <w:t xml:space="preserve">Key actions in the </w:t>
            </w:r>
            <w:proofErr w:type="spellStart"/>
            <w:r w:rsidRPr="00C000B2">
              <w:t>Smokefree</w:t>
            </w:r>
            <w:proofErr w:type="spellEnd"/>
            <w:r w:rsidRPr="00C000B2">
              <w:t xml:space="preserve"> Aotearoa 2025 Action Plan include initiatives to allow only very low nicotine levels in smoked tobacco products, restricting product design measures, and to consider ways to restrict filters.</w:t>
            </w:r>
            <w:r w:rsidRPr="00990345">
              <w:rPr>
                <w:vertAlign w:val="superscript"/>
              </w:rPr>
              <w:t>53</w:t>
            </w:r>
          </w:p>
        </w:tc>
      </w:tr>
    </w:tbl>
    <w:p w14:paraId="393016E9" w14:textId="77777777" w:rsidR="0029210A" w:rsidRDefault="0029210A" w:rsidP="00990345">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1C79199A" w14:textId="77777777" w:rsidTr="00990345">
        <w:trPr>
          <w:cantSplit/>
        </w:trPr>
        <w:tc>
          <w:tcPr>
            <w:tcW w:w="426" w:type="dxa"/>
            <w:tcBorders>
              <w:right w:val="single" w:sz="48" w:space="0" w:color="FFFFFF" w:themeColor="background1"/>
            </w:tcBorders>
            <w:shd w:val="clear" w:color="auto" w:fill="22B893"/>
          </w:tcPr>
          <w:p w14:paraId="04EBB261" w14:textId="77777777" w:rsidR="00990345" w:rsidRDefault="00990345" w:rsidP="00351028"/>
        </w:tc>
        <w:tc>
          <w:tcPr>
            <w:tcW w:w="7371" w:type="dxa"/>
            <w:gridSpan w:val="2"/>
          </w:tcPr>
          <w:p w14:paraId="6126DC86" w14:textId="77777777" w:rsidR="00990345" w:rsidRPr="00465AE2" w:rsidRDefault="00990345" w:rsidP="00990345">
            <w:pPr>
              <w:pStyle w:val="TableText"/>
              <w:rPr>
                <w:sz w:val="22"/>
                <w:szCs w:val="22"/>
              </w:rPr>
            </w:pPr>
            <w:r w:rsidRPr="00465AE2">
              <w:rPr>
                <w:b/>
                <w:sz w:val="22"/>
                <w:szCs w:val="22"/>
              </w:rPr>
              <w:t xml:space="preserve">Focus area: </w:t>
            </w:r>
            <w:r w:rsidR="00465AE2" w:rsidRPr="00465AE2">
              <w:rPr>
                <w:sz w:val="22"/>
                <w:szCs w:val="22"/>
              </w:rPr>
              <w:t>Reduce the appeal and accessibility of tobacco for youth and young adults</w:t>
            </w:r>
          </w:p>
          <w:p w14:paraId="2AE6DDBE" w14:textId="77777777" w:rsidR="00990345" w:rsidRPr="00465AE2" w:rsidRDefault="00465AE2" w:rsidP="00990345">
            <w:pPr>
              <w:pStyle w:val="TableText"/>
              <w:rPr>
                <w:sz w:val="20"/>
              </w:rPr>
            </w:pPr>
            <w:r w:rsidRPr="00465AE2">
              <w:rPr>
                <w:sz w:val="20"/>
              </w:rPr>
              <w:t>What do we know about the impact for young people of having appealing and accessible tobacco products?</w:t>
            </w:r>
          </w:p>
          <w:p w14:paraId="75D58C6D" w14:textId="77777777" w:rsidR="00465AE2" w:rsidRDefault="00465AE2" w:rsidP="00465AE2">
            <w:pPr>
              <w:pStyle w:val="TableText"/>
            </w:pPr>
            <w:r w:rsidRPr="00C000B2">
              <w:t>Although daily smoking rates in young people aged under 25 years have fallen substantially over the last 15 years, smoking rates increase rapidly with age: they rise from 3 percent of those aged 15–17 years to</w:t>
            </w:r>
            <w:r>
              <w:t xml:space="preserve"> </w:t>
            </w:r>
            <w:r w:rsidRPr="00C000B2">
              <w:t>13 percent of those aged 18–24 years and 17</w:t>
            </w:r>
            <w:r>
              <w:t> </w:t>
            </w:r>
            <w:r w:rsidRPr="00C000B2">
              <w:t>percent of those aged 25–34 years.</w:t>
            </w:r>
            <w:r w:rsidRPr="00465AE2">
              <w:rPr>
                <w:vertAlign w:val="superscript"/>
              </w:rPr>
              <w:t>47</w:t>
            </w:r>
            <w:r w:rsidRPr="00C000B2">
              <w:t xml:space="preserve"> Young people are continuing to start smoking, and almost all smoking starts before the age of 25 years.</w:t>
            </w:r>
            <w:r w:rsidRPr="00465AE2">
              <w:rPr>
                <w:vertAlign w:val="superscript"/>
              </w:rPr>
              <w:t>81,</w:t>
            </w:r>
            <w:r>
              <w:rPr>
                <w:vertAlign w:val="superscript"/>
              </w:rPr>
              <w:t> </w:t>
            </w:r>
            <w:r w:rsidRPr="00465AE2">
              <w:rPr>
                <w:vertAlign w:val="superscript"/>
              </w:rPr>
              <w:t>82</w:t>
            </w:r>
          </w:p>
        </w:tc>
      </w:tr>
      <w:tr w:rsidR="00990345" w14:paraId="1D85759F" w14:textId="77777777" w:rsidTr="00990345">
        <w:trPr>
          <w:cantSplit/>
        </w:trPr>
        <w:tc>
          <w:tcPr>
            <w:tcW w:w="426" w:type="dxa"/>
            <w:tcBorders>
              <w:right w:val="single" w:sz="48" w:space="0" w:color="FFFFFF" w:themeColor="background1"/>
            </w:tcBorders>
            <w:shd w:val="clear" w:color="auto" w:fill="22B893"/>
          </w:tcPr>
          <w:p w14:paraId="6CD7E0EA" w14:textId="77777777" w:rsidR="00990345" w:rsidRDefault="00990345" w:rsidP="00351028"/>
        </w:tc>
        <w:tc>
          <w:tcPr>
            <w:tcW w:w="304" w:type="dxa"/>
            <w:shd w:val="clear" w:color="auto" w:fill="F37973"/>
          </w:tcPr>
          <w:p w14:paraId="30DC6526" w14:textId="77777777" w:rsidR="00990345" w:rsidRPr="0029210A" w:rsidRDefault="00990345" w:rsidP="00990345">
            <w:pPr>
              <w:pStyle w:val="TableText"/>
            </w:pPr>
          </w:p>
        </w:tc>
        <w:tc>
          <w:tcPr>
            <w:tcW w:w="7067" w:type="dxa"/>
          </w:tcPr>
          <w:p w14:paraId="12212B43" w14:textId="77777777" w:rsidR="00990345" w:rsidRPr="0029210A" w:rsidRDefault="00465AE2" w:rsidP="00990345">
            <w:pPr>
              <w:pStyle w:val="TableText"/>
              <w:ind w:left="113"/>
            </w:pPr>
            <w:r w:rsidRPr="00C000B2">
              <w:t>There are significant inequities in the prevalence of smoking in youth and young adults, with higher prevalence in young Māori and Pacific peoples. In 2019/20, a quarter of Māori and 15 percent of Pacific peoples aged 15–24 years were daily smokers compared with 9.7 percent European/other.</w:t>
            </w:r>
            <w:r w:rsidRPr="00465AE2">
              <w:rPr>
                <w:vertAlign w:val="superscript"/>
              </w:rPr>
              <w:t>49</w:t>
            </w:r>
          </w:p>
        </w:tc>
      </w:tr>
    </w:tbl>
    <w:p w14:paraId="23FE04CB" w14:textId="77777777" w:rsidR="00EF27EC" w:rsidRDefault="00EF27EC" w:rsidP="00465AE2">
      <w:pPr>
        <w:spacing w:after="240"/>
      </w:pPr>
      <w:r w:rsidRPr="00C000B2">
        <w:rPr>
          <w:noProof/>
          <w:lang w:eastAsia="en-NZ"/>
        </w:rPr>
        <mc:AlternateContent>
          <mc:Choice Requires="wps">
            <w:drawing>
              <wp:anchor distT="0" distB="0" distL="114300" distR="114300" simplePos="0" relativeHeight="252044288" behindDoc="1" locked="0" layoutInCell="1" allowOverlap="1" wp14:anchorId="60BD0CD6" wp14:editId="16703054">
                <wp:simplePos x="0" y="0"/>
                <wp:positionH relativeFrom="page">
                  <wp:posOffset>4493895</wp:posOffset>
                </wp:positionH>
                <wp:positionV relativeFrom="paragraph">
                  <wp:posOffset>1085850</wp:posOffset>
                </wp:positionV>
                <wp:extent cx="12700" cy="12700"/>
                <wp:effectExtent l="7620" t="8255" r="8255" b="7620"/>
                <wp:wrapNone/>
                <wp:docPr id="1398" name="Freeform 1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7077 7077"/>
                            <a:gd name="T1" fmla="*/ T0 w 20"/>
                            <a:gd name="T2" fmla="+- 0 1720 1710"/>
                            <a:gd name="T3" fmla="*/ 1720 h 20"/>
                            <a:gd name="T4" fmla="+- 0 7080 7077"/>
                            <a:gd name="T5" fmla="*/ T4 w 20"/>
                            <a:gd name="T6" fmla="+- 0 1713 1710"/>
                            <a:gd name="T7" fmla="*/ 1713 h 20"/>
                            <a:gd name="T8" fmla="+- 0 7087 7077"/>
                            <a:gd name="T9" fmla="*/ T8 w 20"/>
                            <a:gd name="T10" fmla="+- 0 1710 1710"/>
                            <a:gd name="T11" fmla="*/ 1710 h 20"/>
                            <a:gd name="T12" fmla="+- 0 7094 7077"/>
                            <a:gd name="T13" fmla="*/ T12 w 20"/>
                            <a:gd name="T14" fmla="+- 0 1713 1710"/>
                            <a:gd name="T15" fmla="*/ 1713 h 20"/>
                            <a:gd name="T16" fmla="+- 0 7097 7077"/>
                            <a:gd name="T17" fmla="*/ T16 w 20"/>
                            <a:gd name="T18" fmla="+- 0 1720 1710"/>
                            <a:gd name="T19" fmla="*/ 1720 h 20"/>
                            <a:gd name="T20" fmla="+- 0 7094 7077"/>
                            <a:gd name="T21" fmla="*/ T20 w 20"/>
                            <a:gd name="T22" fmla="+- 0 1727 1710"/>
                            <a:gd name="T23" fmla="*/ 1727 h 20"/>
                            <a:gd name="T24" fmla="+- 0 7087 7077"/>
                            <a:gd name="T25" fmla="*/ T24 w 20"/>
                            <a:gd name="T26" fmla="+- 0 1730 1710"/>
                            <a:gd name="T27" fmla="*/ 1730 h 20"/>
                            <a:gd name="T28" fmla="+- 0 7080 7077"/>
                            <a:gd name="T29" fmla="*/ T28 w 20"/>
                            <a:gd name="T30" fmla="+- 0 1727 1710"/>
                            <a:gd name="T31" fmla="*/ 1727 h 20"/>
                            <a:gd name="T32" fmla="+- 0 7077 7077"/>
                            <a:gd name="T33" fmla="*/ T32 w 20"/>
                            <a:gd name="T34" fmla="+- 0 1720 1710"/>
                            <a:gd name="T35" fmla="*/ 172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1412E" id="Freeform 1398" o:spid="_x0000_s1026" alt="&quot;&quot;" style="position:absolute;margin-left:353.85pt;margin-top:85.5pt;width:1pt;height:1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" path="m,10l3,3,10,r7,3l20,10r-3,7l10,20,3,17,,10xe" fillcolor="#22b893" stroked="f">
                <v:path arrowok="t" o:connecttype="custom" o:connectlocs="0,1092200;1905,1087755;6350,1085850;10795,1087755;12700,1092200;10795,1096645;6350,1098550;1905,1096645;0,1092200" o:connectangles="0,0,0,0,0,0,0,0,0"/>
                <w10:wrap anchorx="page"/>
              </v:shape>
            </w:pict>
          </mc:Fallback>
        </mc:AlternateContent>
      </w: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3402"/>
      </w:tblGrid>
      <w:tr w:rsidR="0029210A" w:rsidRPr="00465AE2" w14:paraId="2A3A06CD" w14:textId="77777777" w:rsidTr="00AB11A2">
        <w:trPr>
          <w:cantSplit/>
        </w:trPr>
        <w:tc>
          <w:tcPr>
            <w:tcW w:w="8080" w:type="dxa"/>
            <w:gridSpan w:val="2"/>
            <w:tcBorders>
              <w:bottom w:val="nil"/>
            </w:tcBorders>
            <w:shd w:val="clear" w:color="auto" w:fill="D7EDE4"/>
          </w:tcPr>
          <w:p w14:paraId="630AA3C7" w14:textId="77777777" w:rsidR="0029210A" w:rsidRPr="00465AE2" w:rsidRDefault="0029210A" w:rsidP="00465AE2">
            <w:pPr>
              <w:pStyle w:val="TableText"/>
              <w:keepNext/>
              <w:rPr>
                <w:b/>
                <w:sz w:val="22"/>
                <w:szCs w:val="22"/>
              </w:rPr>
            </w:pPr>
            <w:r w:rsidRPr="00465AE2">
              <w:rPr>
                <w:b/>
                <w:sz w:val="22"/>
                <w:szCs w:val="22"/>
              </w:rPr>
              <w:lastRenderedPageBreak/>
              <w:t xml:space="preserve">Action: </w:t>
            </w:r>
            <w:r w:rsidR="00465AE2" w:rsidRPr="00465AE2">
              <w:rPr>
                <w:sz w:val="22"/>
                <w:szCs w:val="22"/>
              </w:rPr>
              <w:t xml:space="preserve">Increase the purchasing age for tobacco by one year each year (creating a </w:t>
            </w:r>
            <w:proofErr w:type="spellStart"/>
            <w:r w:rsidR="00465AE2" w:rsidRPr="00465AE2">
              <w:rPr>
                <w:sz w:val="22"/>
                <w:szCs w:val="22"/>
              </w:rPr>
              <w:t>smokefree</w:t>
            </w:r>
            <w:proofErr w:type="spellEnd"/>
            <w:r w:rsidR="00465AE2" w:rsidRPr="00465AE2">
              <w:rPr>
                <w:sz w:val="22"/>
                <w:szCs w:val="22"/>
              </w:rPr>
              <w:t>/tobacco-free generation)</w:t>
            </w:r>
          </w:p>
        </w:tc>
      </w:tr>
      <w:tr w:rsidR="0029210A" w14:paraId="2EA438B5" w14:textId="77777777" w:rsidTr="00AB11A2">
        <w:trPr>
          <w:cantSplit/>
        </w:trPr>
        <w:tc>
          <w:tcPr>
            <w:tcW w:w="4678" w:type="dxa"/>
            <w:tcBorders>
              <w:top w:val="nil"/>
              <w:bottom w:val="single" w:sz="8" w:space="0" w:color="22B893"/>
              <w:right w:val="dashed" w:sz="4" w:space="0" w:color="22B893"/>
            </w:tcBorders>
          </w:tcPr>
          <w:p w14:paraId="0F23A378" w14:textId="77777777" w:rsidR="0029210A" w:rsidRPr="00AB3864" w:rsidRDefault="0029210A" w:rsidP="00465AE2">
            <w:pPr>
              <w:pStyle w:val="TableText"/>
              <w:ind w:right="113"/>
              <w:rPr>
                <w:sz w:val="20"/>
              </w:rPr>
            </w:pPr>
            <w:r w:rsidRPr="00AB3864">
              <w:rPr>
                <w:sz w:val="20"/>
              </w:rPr>
              <w:t>What is the evidence?</w:t>
            </w:r>
          </w:p>
          <w:p w14:paraId="6542E086" w14:textId="77777777" w:rsidR="00465AE2" w:rsidRPr="00C000B2" w:rsidRDefault="00465AE2" w:rsidP="00465AE2">
            <w:pPr>
              <w:pStyle w:val="TableText"/>
              <w:ind w:right="113"/>
            </w:pPr>
            <w:r w:rsidRPr="00C000B2">
              <w:t>Preventing young people from starting to smoke will have the biggest impact on smoking prevalence in the long term and the biggest impact on reducing ethnic inequities in smoking prevalence.</w:t>
            </w:r>
            <w:r w:rsidRPr="00465AE2">
              <w:rPr>
                <w:vertAlign w:val="superscript"/>
              </w:rPr>
              <w:t>66,</w:t>
            </w:r>
            <w:r>
              <w:rPr>
                <w:vertAlign w:val="superscript"/>
              </w:rPr>
              <w:t> </w:t>
            </w:r>
            <w:r w:rsidRPr="00465AE2">
              <w:rPr>
                <w:vertAlign w:val="superscript"/>
              </w:rPr>
              <w:t>83</w:t>
            </w:r>
            <w:r>
              <w:rPr>
                <w:vertAlign w:val="superscript"/>
              </w:rPr>
              <w:t>–</w:t>
            </w:r>
            <w:r w:rsidRPr="00465AE2">
              <w:rPr>
                <w:vertAlign w:val="superscript"/>
              </w:rPr>
              <w:t>85</w:t>
            </w:r>
          </w:p>
          <w:p w14:paraId="51AC5BC8" w14:textId="77777777" w:rsidR="00465AE2" w:rsidRPr="00C000B2" w:rsidRDefault="00465AE2" w:rsidP="00465AE2">
            <w:pPr>
              <w:pStyle w:val="TableText"/>
              <w:ind w:right="113"/>
            </w:pPr>
            <w:r w:rsidRPr="00C000B2">
              <w:t>The tobacco-free generation (TFG) policy effectively bans tobacco sales to individuals born after a certain set year. Aotearoa modelling shows that a TFG policy would reduce smoking rates significantly (as much as halving smoking prevalence in those aged under 45</w:t>
            </w:r>
            <w:r>
              <w:t> </w:t>
            </w:r>
            <w:r w:rsidRPr="00C000B2">
              <w:t>years within 14 years) and reduce ethnic disparities in smoking.</w:t>
            </w:r>
            <w:r w:rsidRPr="00465AE2">
              <w:rPr>
                <w:vertAlign w:val="superscript"/>
              </w:rPr>
              <w:t>66,</w:t>
            </w:r>
            <w:r>
              <w:rPr>
                <w:vertAlign w:val="superscript"/>
              </w:rPr>
              <w:t> </w:t>
            </w:r>
            <w:r w:rsidRPr="00465AE2">
              <w:rPr>
                <w:vertAlign w:val="superscript"/>
              </w:rPr>
              <w:t>85</w:t>
            </w:r>
          </w:p>
          <w:p w14:paraId="5C49DF19" w14:textId="77777777" w:rsidR="00465AE2" w:rsidRPr="00C000B2" w:rsidRDefault="00465AE2" w:rsidP="00465AE2">
            <w:pPr>
              <w:pStyle w:val="TableText"/>
              <w:ind w:right="113"/>
            </w:pPr>
            <w:r w:rsidRPr="00C000B2">
              <w:t>In the USA, early evaluations of the impact of banning sales of tobacco to people younger than 21 years have shown a small reduction in smoking in those aged</w:t>
            </w:r>
            <w:r>
              <w:br/>
            </w:r>
            <w:r w:rsidRPr="00C000B2">
              <w:t>18–20 years.</w:t>
            </w:r>
            <w:r w:rsidRPr="00465AE2">
              <w:rPr>
                <w:vertAlign w:val="superscript"/>
              </w:rPr>
              <w:t>84</w:t>
            </w:r>
          </w:p>
          <w:p w14:paraId="19009AF3" w14:textId="77777777" w:rsidR="00465AE2" w:rsidRPr="00C000B2" w:rsidRDefault="00465AE2" w:rsidP="00465AE2">
            <w:pPr>
              <w:pStyle w:val="TableText"/>
              <w:ind w:right="113"/>
            </w:pPr>
            <w:r w:rsidRPr="00C000B2">
              <w:t xml:space="preserve">No country has introduced a TFG policy. It was introduced in Balanga City in the Philippines in </w:t>
            </w:r>
            <w:proofErr w:type="gramStart"/>
            <w:r w:rsidRPr="00C000B2">
              <w:t>2016, but</w:t>
            </w:r>
            <w:proofErr w:type="gramEnd"/>
            <w:r w:rsidRPr="00C000B2">
              <w:t xml:space="preserve"> faced legal challenges from the tobacco industry.</w:t>
            </w:r>
            <w:r w:rsidRPr="00465AE2">
              <w:rPr>
                <w:vertAlign w:val="superscript"/>
              </w:rPr>
              <w:t>86</w:t>
            </w:r>
          </w:p>
          <w:p w14:paraId="47452016" w14:textId="77777777" w:rsidR="0029210A" w:rsidRDefault="00465AE2" w:rsidP="00465AE2">
            <w:pPr>
              <w:pStyle w:val="TableText"/>
              <w:ind w:right="113"/>
            </w:pPr>
            <w:r w:rsidRPr="00C000B2">
              <w:t>A 2017 Aotearoa survey of adult smokers and recent quitters found that 78 percent of respondents, including 70 percent of those aged 18–24 years, supported a TFG policy.</w:t>
            </w:r>
            <w:r w:rsidRPr="00465AE2">
              <w:rPr>
                <w:vertAlign w:val="superscript"/>
              </w:rPr>
              <w:t>85</w:t>
            </w:r>
          </w:p>
        </w:tc>
        <w:tc>
          <w:tcPr>
            <w:tcW w:w="3402" w:type="dxa"/>
            <w:tcBorders>
              <w:top w:val="nil"/>
              <w:left w:val="dashed" w:sz="4" w:space="0" w:color="22B893"/>
              <w:bottom w:val="single" w:sz="8" w:space="0" w:color="22B893"/>
            </w:tcBorders>
          </w:tcPr>
          <w:p w14:paraId="41ECD498" w14:textId="77777777" w:rsidR="0029210A" w:rsidRPr="00AB3864" w:rsidRDefault="0029210A" w:rsidP="00AB11A2">
            <w:pPr>
              <w:pStyle w:val="TableText"/>
              <w:ind w:left="113"/>
              <w:rPr>
                <w:sz w:val="20"/>
              </w:rPr>
            </w:pPr>
            <w:r w:rsidRPr="00AB3864">
              <w:rPr>
                <w:sz w:val="20"/>
              </w:rPr>
              <w:t>What is Aotearoa doing currently?</w:t>
            </w:r>
          </w:p>
          <w:p w14:paraId="35A49493" w14:textId="77777777" w:rsidR="00465AE2" w:rsidRPr="00C000B2" w:rsidRDefault="00465AE2" w:rsidP="00465AE2">
            <w:pPr>
              <w:pStyle w:val="TableText"/>
              <w:ind w:left="113"/>
            </w:pPr>
            <w:r w:rsidRPr="00C000B2">
              <w:t>Since 1997, it has been illegal to sell tobacco to anyone younger than 18</w:t>
            </w:r>
            <w:r>
              <w:t> </w:t>
            </w:r>
            <w:r w:rsidRPr="00C000B2">
              <w:t>years in a public place. Aotearoa has no TFG policy currently.</w:t>
            </w:r>
          </w:p>
          <w:p w14:paraId="05E49E94" w14:textId="77777777" w:rsidR="0029210A" w:rsidRDefault="00465AE2" w:rsidP="00465AE2">
            <w:pPr>
              <w:pStyle w:val="TableText"/>
              <w:ind w:left="113"/>
            </w:pPr>
            <w:r w:rsidRPr="00C000B2">
              <w:t xml:space="preserve">A key action in the </w:t>
            </w:r>
            <w:proofErr w:type="spellStart"/>
            <w:r w:rsidRPr="00C000B2">
              <w:t>Smokefree</w:t>
            </w:r>
            <w:proofErr w:type="spellEnd"/>
            <w:r w:rsidRPr="00C000B2">
              <w:t xml:space="preserve"> Aotearoa 2025 Action Plan includes introducing an amendment Bill to prohibit the sale, </w:t>
            </w:r>
            <w:proofErr w:type="gramStart"/>
            <w:r w:rsidRPr="00C000B2">
              <w:t>delivery</w:t>
            </w:r>
            <w:proofErr w:type="gramEnd"/>
            <w:r w:rsidRPr="00C000B2">
              <w:t xml:space="preserve"> and supply of smoked tobacco products to persons born after a certain date to a create a </w:t>
            </w:r>
            <w:proofErr w:type="spellStart"/>
            <w:r w:rsidRPr="00C000B2">
              <w:t>smokefree</w:t>
            </w:r>
            <w:proofErr w:type="spellEnd"/>
            <w:r w:rsidRPr="00C000B2">
              <w:t xml:space="preserve"> generation.</w:t>
            </w:r>
            <w:r w:rsidRPr="00465AE2">
              <w:rPr>
                <w:vertAlign w:val="superscript"/>
              </w:rPr>
              <w:t>53</w:t>
            </w:r>
          </w:p>
        </w:tc>
      </w:tr>
    </w:tbl>
    <w:p w14:paraId="6D204048" w14:textId="77777777" w:rsidR="0029210A" w:rsidRPr="00C000B2" w:rsidRDefault="0029210A" w:rsidP="00465AE2">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3402"/>
      </w:tblGrid>
      <w:tr w:rsidR="0029210A" w:rsidRPr="00AB3864" w14:paraId="3750488D" w14:textId="77777777" w:rsidTr="00AB11A2">
        <w:trPr>
          <w:cantSplit/>
        </w:trPr>
        <w:tc>
          <w:tcPr>
            <w:tcW w:w="8080" w:type="dxa"/>
            <w:gridSpan w:val="2"/>
            <w:tcBorders>
              <w:bottom w:val="nil"/>
            </w:tcBorders>
            <w:shd w:val="clear" w:color="auto" w:fill="D7EDE4"/>
          </w:tcPr>
          <w:p w14:paraId="094F03C5" w14:textId="77777777" w:rsidR="0029210A" w:rsidRPr="00AB3864" w:rsidRDefault="0029210A" w:rsidP="00AB11A2">
            <w:pPr>
              <w:pStyle w:val="TableText"/>
              <w:rPr>
                <w:b/>
                <w:sz w:val="22"/>
                <w:szCs w:val="22"/>
              </w:rPr>
            </w:pPr>
            <w:r w:rsidRPr="00AB3864">
              <w:rPr>
                <w:b/>
                <w:sz w:val="22"/>
                <w:szCs w:val="22"/>
              </w:rPr>
              <w:t xml:space="preserve">Action: </w:t>
            </w:r>
            <w:r w:rsidR="004A47C5" w:rsidRPr="004A47C5">
              <w:rPr>
                <w:sz w:val="22"/>
                <w:szCs w:val="22"/>
              </w:rPr>
              <w:t>Prohibit smoking in outdoor areas of bars and restaurants</w:t>
            </w:r>
          </w:p>
        </w:tc>
      </w:tr>
      <w:tr w:rsidR="0029210A" w14:paraId="1FA27F6F" w14:textId="77777777" w:rsidTr="00AB11A2">
        <w:trPr>
          <w:cantSplit/>
        </w:trPr>
        <w:tc>
          <w:tcPr>
            <w:tcW w:w="4678" w:type="dxa"/>
            <w:tcBorders>
              <w:top w:val="nil"/>
              <w:bottom w:val="single" w:sz="8" w:space="0" w:color="22B893"/>
              <w:right w:val="dashed" w:sz="4" w:space="0" w:color="22B893"/>
            </w:tcBorders>
          </w:tcPr>
          <w:p w14:paraId="1DFC149A" w14:textId="77777777" w:rsidR="0029210A" w:rsidRPr="00AB3864" w:rsidRDefault="0029210A" w:rsidP="00AB11A2">
            <w:pPr>
              <w:pStyle w:val="TableText"/>
              <w:ind w:right="142"/>
              <w:rPr>
                <w:sz w:val="20"/>
              </w:rPr>
            </w:pPr>
            <w:r w:rsidRPr="00AB3864">
              <w:rPr>
                <w:sz w:val="20"/>
              </w:rPr>
              <w:t>What is the evidence?</w:t>
            </w:r>
          </w:p>
          <w:p w14:paraId="6AAF2771" w14:textId="77777777" w:rsidR="004A47C5" w:rsidRPr="00C000B2" w:rsidRDefault="004A47C5" w:rsidP="004A47C5">
            <w:pPr>
              <w:pStyle w:val="TableText"/>
              <w:ind w:right="113"/>
            </w:pPr>
            <w:r w:rsidRPr="00C000B2">
              <w:t>Nationally and internationally, use of tobacco and alcohol together is common in youth and young adults,</w:t>
            </w:r>
            <w:r w:rsidRPr="004A47C5">
              <w:rPr>
                <w:vertAlign w:val="superscript"/>
              </w:rPr>
              <w:t>81,</w:t>
            </w:r>
            <w:r>
              <w:rPr>
                <w:vertAlign w:val="superscript"/>
              </w:rPr>
              <w:t> </w:t>
            </w:r>
            <w:r w:rsidRPr="004A47C5">
              <w:rPr>
                <w:vertAlign w:val="superscript"/>
              </w:rPr>
              <w:t>87,</w:t>
            </w:r>
            <w:r>
              <w:rPr>
                <w:vertAlign w:val="superscript"/>
              </w:rPr>
              <w:t> </w:t>
            </w:r>
            <w:r w:rsidRPr="004A47C5">
              <w:rPr>
                <w:vertAlign w:val="superscript"/>
              </w:rPr>
              <w:t>88</w:t>
            </w:r>
            <w:r w:rsidRPr="00C000B2">
              <w:t xml:space="preserve"> particularly in social settings such as bars and restaurants.</w:t>
            </w:r>
            <w:r w:rsidRPr="004A47C5">
              <w:rPr>
                <w:vertAlign w:val="superscript"/>
              </w:rPr>
              <w:t>87</w:t>
            </w:r>
            <w:r w:rsidRPr="00C000B2">
              <w:t xml:space="preserve"> Providing comfortable outdoor smoking spaces in bars facilitates smoking and contributes to normalising smoking for young adults in Aotearoa. Importantly, smokers who did not smoke daily (self-identifying themselves as ‘social smokers’ or non-smokers) indicated that they would not smoke when out drinking if there were no comfortable spaces to smoke.</w:t>
            </w:r>
            <w:r w:rsidRPr="004A47C5">
              <w:rPr>
                <w:vertAlign w:val="superscript"/>
              </w:rPr>
              <w:t>87</w:t>
            </w:r>
          </w:p>
          <w:p w14:paraId="5C890F89" w14:textId="77777777" w:rsidR="004A47C5" w:rsidRPr="00C000B2" w:rsidRDefault="004A47C5" w:rsidP="004A47C5">
            <w:pPr>
              <w:pStyle w:val="TableText"/>
              <w:ind w:right="113"/>
            </w:pPr>
            <w:r w:rsidRPr="00C000B2">
              <w:t xml:space="preserve">Many jurisdictions in other countries (such as the USA, </w:t>
            </w:r>
            <w:proofErr w:type="gramStart"/>
            <w:r w:rsidRPr="00C000B2">
              <w:t>Australia</w:t>
            </w:r>
            <w:proofErr w:type="gramEnd"/>
            <w:r w:rsidRPr="00C000B2">
              <w:t xml:space="preserve"> and Canada) have comprehensive laws for a range of </w:t>
            </w:r>
            <w:proofErr w:type="spellStart"/>
            <w:r w:rsidRPr="00C000B2">
              <w:t>smokefree</w:t>
            </w:r>
            <w:proofErr w:type="spellEnd"/>
            <w:r w:rsidRPr="00C000B2">
              <w:t xml:space="preserve"> outdoor areas.</w:t>
            </w:r>
            <w:r w:rsidRPr="004A47C5">
              <w:rPr>
                <w:vertAlign w:val="superscript"/>
              </w:rPr>
              <w:t>89</w:t>
            </w:r>
            <w:r w:rsidRPr="00C000B2">
              <w:t xml:space="preserve"> For example, since 2006, Queensland has had a </w:t>
            </w:r>
            <w:proofErr w:type="spellStart"/>
            <w:r w:rsidRPr="00C000B2">
              <w:t>smokefree</w:t>
            </w:r>
            <w:proofErr w:type="spellEnd"/>
            <w:r w:rsidRPr="00C000B2">
              <w:t xml:space="preserve"> law for outdoor dining businesses.</w:t>
            </w:r>
            <w:r w:rsidRPr="004A47C5">
              <w:rPr>
                <w:vertAlign w:val="superscript"/>
              </w:rPr>
              <w:t>90</w:t>
            </w:r>
          </w:p>
          <w:p w14:paraId="1125F3C8" w14:textId="77777777" w:rsidR="0029210A" w:rsidRDefault="004A47C5" w:rsidP="004A47C5">
            <w:pPr>
              <w:pStyle w:val="TableText"/>
              <w:ind w:right="113"/>
            </w:pPr>
            <w:r w:rsidRPr="00C000B2">
              <w:t xml:space="preserve">A survey in Auckland in 2013 found 73 percent support for </w:t>
            </w:r>
            <w:proofErr w:type="spellStart"/>
            <w:r w:rsidRPr="00C000B2">
              <w:t>smokefree</w:t>
            </w:r>
            <w:proofErr w:type="spellEnd"/>
            <w:r w:rsidRPr="00C000B2">
              <w:t xml:space="preserve"> outdoor dining.</w:t>
            </w:r>
            <w:r w:rsidRPr="004A47C5">
              <w:rPr>
                <w:vertAlign w:val="superscript"/>
              </w:rPr>
              <w:t>91</w:t>
            </w:r>
          </w:p>
        </w:tc>
        <w:tc>
          <w:tcPr>
            <w:tcW w:w="3402" w:type="dxa"/>
            <w:tcBorders>
              <w:top w:val="nil"/>
              <w:left w:val="dashed" w:sz="4" w:space="0" w:color="22B893"/>
              <w:bottom w:val="single" w:sz="8" w:space="0" w:color="22B893"/>
            </w:tcBorders>
          </w:tcPr>
          <w:p w14:paraId="7806008B" w14:textId="77777777" w:rsidR="0029210A" w:rsidRPr="00AB3864" w:rsidRDefault="0029210A" w:rsidP="00AB11A2">
            <w:pPr>
              <w:pStyle w:val="TableText"/>
              <w:ind w:left="113"/>
              <w:rPr>
                <w:sz w:val="20"/>
              </w:rPr>
            </w:pPr>
            <w:r w:rsidRPr="00AB3864">
              <w:rPr>
                <w:sz w:val="20"/>
              </w:rPr>
              <w:t>What is Aotearoa doing currently?</w:t>
            </w:r>
          </w:p>
          <w:p w14:paraId="194FB9E0" w14:textId="77777777" w:rsidR="004A47C5" w:rsidRPr="00C000B2" w:rsidRDefault="004A47C5" w:rsidP="004A47C5">
            <w:pPr>
              <w:pStyle w:val="TableText"/>
              <w:ind w:left="113"/>
            </w:pPr>
            <w:r w:rsidRPr="00C000B2">
              <w:t xml:space="preserve">The </w:t>
            </w:r>
            <w:proofErr w:type="spellStart"/>
            <w:r w:rsidRPr="00C000B2">
              <w:t>Smokefree</w:t>
            </w:r>
            <w:proofErr w:type="spellEnd"/>
            <w:r w:rsidRPr="00C000B2">
              <w:t xml:space="preserve"> Environments and Regulated Products Act 1990 prohibits smoking inside hospitality venues.</w:t>
            </w:r>
            <w:r>
              <w:t xml:space="preserve"> </w:t>
            </w:r>
            <w:r w:rsidRPr="00C000B2">
              <w:t>However, it does not restrict smoking in ‘open areas’ or outdoor environments of bars and restaurants.</w:t>
            </w:r>
          </w:p>
          <w:p w14:paraId="229A9713" w14:textId="77777777" w:rsidR="0029210A" w:rsidRDefault="004A47C5" w:rsidP="004A47C5">
            <w:pPr>
              <w:pStyle w:val="TableText"/>
              <w:ind w:left="113"/>
            </w:pPr>
            <w:r w:rsidRPr="00C000B2">
              <w:t>Many councils have policies or bylaws prohibiting smoking in outdoor dining areas on council footpaths.</w:t>
            </w:r>
            <w:r w:rsidRPr="004A47C5">
              <w:rPr>
                <w:vertAlign w:val="superscript"/>
              </w:rPr>
              <w:t>92</w:t>
            </w:r>
            <w:r>
              <w:rPr>
                <w:vertAlign w:val="superscript"/>
              </w:rPr>
              <w:t>–</w:t>
            </w:r>
            <w:r w:rsidRPr="004A47C5">
              <w:rPr>
                <w:vertAlign w:val="superscript"/>
              </w:rPr>
              <w:t>95</w:t>
            </w:r>
            <w:r w:rsidRPr="00C000B2">
              <w:t xml:space="preserve"> Some councils have introduced discounts for outdoor dining and bar venues on the fees for using public space, if they are smokefree.</w:t>
            </w:r>
            <w:r w:rsidRPr="004A47C5">
              <w:rPr>
                <w:vertAlign w:val="superscript"/>
              </w:rPr>
              <w:t>96</w:t>
            </w:r>
            <w:r w:rsidRPr="00C000B2">
              <w:t xml:space="preserve"> These measures are not mandated nationally, however.</w:t>
            </w:r>
          </w:p>
        </w:tc>
      </w:tr>
    </w:tbl>
    <w:p w14:paraId="37FF7C66" w14:textId="77777777" w:rsidR="0029210A" w:rsidRDefault="0029210A" w:rsidP="004A47C5">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3402"/>
      </w:tblGrid>
      <w:tr w:rsidR="0029210A" w:rsidRPr="00AB3864" w14:paraId="38C09995" w14:textId="77777777" w:rsidTr="00AB11A2">
        <w:trPr>
          <w:cantSplit/>
        </w:trPr>
        <w:tc>
          <w:tcPr>
            <w:tcW w:w="8080" w:type="dxa"/>
            <w:gridSpan w:val="2"/>
            <w:tcBorders>
              <w:bottom w:val="nil"/>
            </w:tcBorders>
            <w:shd w:val="clear" w:color="auto" w:fill="D7EDE4"/>
          </w:tcPr>
          <w:p w14:paraId="5F541BEF" w14:textId="77777777" w:rsidR="0029210A" w:rsidRPr="00AB3864" w:rsidRDefault="0029210A" w:rsidP="004A47C5">
            <w:pPr>
              <w:pStyle w:val="TableText"/>
              <w:keepNext/>
              <w:rPr>
                <w:b/>
                <w:sz w:val="22"/>
                <w:szCs w:val="22"/>
              </w:rPr>
            </w:pPr>
            <w:r w:rsidRPr="00AB3864">
              <w:rPr>
                <w:b/>
                <w:sz w:val="22"/>
                <w:szCs w:val="22"/>
              </w:rPr>
              <w:lastRenderedPageBreak/>
              <w:t xml:space="preserve">Action: </w:t>
            </w:r>
            <w:r w:rsidR="004A47C5" w:rsidRPr="004A47C5">
              <w:rPr>
                <w:sz w:val="22"/>
                <w:szCs w:val="22"/>
              </w:rPr>
              <w:t>Restrict tobacco product placement across all media forms</w:t>
            </w:r>
          </w:p>
        </w:tc>
      </w:tr>
      <w:tr w:rsidR="0029210A" w14:paraId="5E5B5F97" w14:textId="77777777" w:rsidTr="00AB11A2">
        <w:trPr>
          <w:cantSplit/>
        </w:trPr>
        <w:tc>
          <w:tcPr>
            <w:tcW w:w="4678" w:type="dxa"/>
            <w:tcBorders>
              <w:top w:val="nil"/>
              <w:bottom w:val="single" w:sz="8" w:space="0" w:color="22B893"/>
              <w:right w:val="dashed" w:sz="4" w:space="0" w:color="22B893"/>
            </w:tcBorders>
          </w:tcPr>
          <w:p w14:paraId="4FD0C956" w14:textId="77777777" w:rsidR="0029210A" w:rsidRPr="00AB3864" w:rsidRDefault="0029210A" w:rsidP="00AB11A2">
            <w:pPr>
              <w:pStyle w:val="TableText"/>
              <w:ind w:right="142"/>
              <w:rPr>
                <w:sz w:val="20"/>
              </w:rPr>
            </w:pPr>
            <w:r w:rsidRPr="00AB3864">
              <w:rPr>
                <w:sz w:val="20"/>
              </w:rPr>
              <w:t>What is the evidence?</w:t>
            </w:r>
          </w:p>
          <w:p w14:paraId="17C8CAC7" w14:textId="77777777" w:rsidR="004A47C5" w:rsidRPr="00C000B2" w:rsidRDefault="004A47C5" w:rsidP="004A47C5">
            <w:pPr>
              <w:pStyle w:val="TableText"/>
              <w:ind w:right="113"/>
            </w:pPr>
            <w:r w:rsidRPr="00C000B2">
              <w:t>Internationally, it is common for media popular with youth and young adults – such as TV and streaming services, movies, music videos and videogames – to show tobacco use and this trend</w:t>
            </w:r>
            <w:r>
              <w:t xml:space="preserve"> </w:t>
            </w:r>
            <w:r w:rsidRPr="00C000B2">
              <w:t>is increasing.</w:t>
            </w:r>
            <w:r w:rsidRPr="004A47C5">
              <w:rPr>
                <w:vertAlign w:val="superscript"/>
              </w:rPr>
              <w:t>97</w:t>
            </w:r>
            <w:r>
              <w:rPr>
                <w:vertAlign w:val="superscript"/>
              </w:rPr>
              <w:t>–</w:t>
            </w:r>
            <w:r w:rsidRPr="004A47C5">
              <w:rPr>
                <w:vertAlign w:val="superscript"/>
              </w:rPr>
              <w:t>101</w:t>
            </w:r>
            <w:r w:rsidRPr="00C000B2">
              <w:t xml:space="preserve"> This serves to normalise tobacco smoking and conveys the idea that the prevalence of smoking is much higher than it is in reality.</w:t>
            </w:r>
            <w:r w:rsidRPr="004A47C5">
              <w:rPr>
                <w:vertAlign w:val="superscript"/>
              </w:rPr>
              <w:t>97</w:t>
            </w:r>
          </w:p>
          <w:p w14:paraId="0D17E24D" w14:textId="77777777" w:rsidR="0029210A" w:rsidRDefault="004A47C5" w:rsidP="004A47C5">
            <w:pPr>
              <w:pStyle w:val="TableText"/>
              <w:ind w:right="113"/>
            </w:pPr>
            <w:r w:rsidRPr="00C000B2">
              <w:t>More than 80 percent of New Zealanders aged 14–15 years had noticed people or characters smoking in media in 2018. Those who had never smoked were twice as likely to be considered susceptible to smoking (</w:t>
            </w:r>
            <w:proofErr w:type="spellStart"/>
            <w:r w:rsidRPr="00C000B2">
              <w:t>ie</w:t>
            </w:r>
            <w:proofErr w:type="spellEnd"/>
            <w:r w:rsidRPr="00C000B2">
              <w:t xml:space="preserve">, appearing less committed to remain </w:t>
            </w:r>
            <w:proofErr w:type="spellStart"/>
            <w:r w:rsidRPr="00C000B2">
              <w:t>smokefree</w:t>
            </w:r>
            <w:proofErr w:type="spellEnd"/>
            <w:r w:rsidRPr="00C000B2">
              <w:t xml:space="preserve"> in the future) if they had noticed smoking in the media.</w:t>
            </w:r>
            <w:r w:rsidRPr="004A47C5">
              <w:rPr>
                <w:vertAlign w:val="superscript"/>
              </w:rPr>
              <w:t>102</w:t>
            </w:r>
          </w:p>
        </w:tc>
        <w:tc>
          <w:tcPr>
            <w:tcW w:w="3402" w:type="dxa"/>
            <w:tcBorders>
              <w:top w:val="nil"/>
              <w:left w:val="dashed" w:sz="4" w:space="0" w:color="22B893"/>
              <w:bottom w:val="single" w:sz="8" w:space="0" w:color="22B893"/>
            </w:tcBorders>
          </w:tcPr>
          <w:p w14:paraId="68516BAD" w14:textId="77777777" w:rsidR="0029210A" w:rsidRPr="00AB3864" w:rsidRDefault="0029210A" w:rsidP="00AB11A2">
            <w:pPr>
              <w:pStyle w:val="TableText"/>
              <w:ind w:left="113"/>
              <w:rPr>
                <w:sz w:val="20"/>
              </w:rPr>
            </w:pPr>
            <w:r w:rsidRPr="00AB3864">
              <w:rPr>
                <w:sz w:val="20"/>
              </w:rPr>
              <w:t>What is Aotearoa doing currently?</w:t>
            </w:r>
          </w:p>
          <w:p w14:paraId="169CC589" w14:textId="77777777" w:rsidR="004A47C5" w:rsidRPr="00C000B2" w:rsidRDefault="004A47C5" w:rsidP="004A47C5">
            <w:pPr>
              <w:pStyle w:val="TableText"/>
              <w:ind w:left="113"/>
            </w:pPr>
            <w:r w:rsidRPr="00C000B2">
              <w:t xml:space="preserve">The </w:t>
            </w:r>
            <w:proofErr w:type="spellStart"/>
            <w:r w:rsidRPr="00C000B2">
              <w:t>Smokefree</w:t>
            </w:r>
            <w:proofErr w:type="spellEnd"/>
            <w:r w:rsidRPr="00C000B2">
              <w:t xml:space="preserve"> Environments and Regulated Products Act 1990 prohibits all advertising, </w:t>
            </w:r>
            <w:proofErr w:type="gramStart"/>
            <w:r w:rsidRPr="00C000B2">
              <w:t>marketing</w:t>
            </w:r>
            <w:proofErr w:type="gramEnd"/>
            <w:r w:rsidRPr="00C000B2">
              <w:t xml:space="preserve"> and sponsorship of tobacco products.</w:t>
            </w:r>
            <w:r>
              <w:t xml:space="preserve"> </w:t>
            </w:r>
            <w:r w:rsidRPr="00C000B2">
              <w:t>However, depicting tobacco or having product placements in many common forms of media would be exempt from this advertising prohibition.</w:t>
            </w:r>
          </w:p>
          <w:p w14:paraId="1752CBA6" w14:textId="77777777" w:rsidR="0029210A" w:rsidRDefault="004A47C5" w:rsidP="004A47C5">
            <w:pPr>
              <w:pStyle w:val="TableText"/>
              <w:ind w:left="113"/>
            </w:pPr>
            <w:r w:rsidRPr="00C000B2">
              <w:t>The process of classifying movies and television programmes in Aotearoa does not currently consider their tobacco-related content.</w:t>
            </w:r>
            <w:r w:rsidRPr="004A47C5">
              <w:rPr>
                <w:vertAlign w:val="superscript"/>
              </w:rPr>
              <w:t>103</w:t>
            </w:r>
          </w:p>
        </w:tc>
      </w:tr>
    </w:tbl>
    <w:p w14:paraId="726F1E36" w14:textId="77777777" w:rsidR="00EF27EC" w:rsidRPr="00C000B2" w:rsidRDefault="00EF27EC" w:rsidP="004A47C5">
      <w:pPr>
        <w:spacing w:after="240"/>
      </w:pPr>
      <w:r w:rsidRPr="00C000B2">
        <w:rPr>
          <w:noProof/>
          <w:lang w:eastAsia="en-NZ"/>
        </w:rPr>
        <mc:AlternateContent>
          <mc:Choice Requires="wps">
            <w:drawing>
              <wp:anchor distT="0" distB="0" distL="114300" distR="114300" simplePos="0" relativeHeight="252045312" behindDoc="1" locked="0" layoutInCell="1" allowOverlap="1" wp14:anchorId="1FA3D0AC" wp14:editId="68FAB92A">
                <wp:simplePos x="0" y="0"/>
                <wp:positionH relativeFrom="page">
                  <wp:posOffset>4493895</wp:posOffset>
                </wp:positionH>
                <wp:positionV relativeFrom="page">
                  <wp:posOffset>4304665</wp:posOffset>
                </wp:positionV>
                <wp:extent cx="12700" cy="12700"/>
                <wp:effectExtent l="7620" t="8890" r="8255" b="6985"/>
                <wp:wrapNone/>
                <wp:docPr id="1396" name="Freeform 1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7077 7077"/>
                            <a:gd name="T1" fmla="*/ T0 w 20"/>
                            <a:gd name="T2" fmla="+- 0 6789 6779"/>
                            <a:gd name="T3" fmla="*/ 6789 h 20"/>
                            <a:gd name="T4" fmla="+- 0 7080 7077"/>
                            <a:gd name="T5" fmla="*/ T4 w 20"/>
                            <a:gd name="T6" fmla="+- 0 6782 6779"/>
                            <a:gd name="T7" fmla="*/ 6782 h 20"/>
                            <a:gd name="T8" fmla="+- 0 7087 7077"/>
                            <a:gd name="T9" fmla="*/ T8 w 20"/>
                            <a:gd name="T10" fmla="+- 0 6779 6779"/>
                            <a:gd name="T11" fmla="*/ 6779 h 20"/>
                            <a:gd name="T12" fmla="+- 0 7094 7077"/>
                            <a:gd name="T13" fmla="*/ T12 w 20"/>
                            <a:gd name="T14" fmla="+- 0 6782 6779"/>
                            <a:gd name="T15" fmla="*/ 6782 h 20"/>
                            <a:gd name="T16" fmla="+- 0 7097 7077"/>
                            <a:gd name="T17" fmla="*/ T16 w 20"/>
                            <a:gd name="T18" fmla="+- 0 6789 6779"/>
                            <a:gd name="T19" fmla="*/ 6789 h 20"/>
                            <a:gd name="T20" fmla="+- 0 7094 7077"/>
                            <a:gd name="T21" fmla="*/ T20 w 20"/>
                            <a:gd name="T22" fmla="+- 0 6796 6779"/>
                            <a:gd name="T23" fmla="*/ 6796 h 20"/>
                            <a:gd name="T24" fmla="+- 0 7087 7077"/>
                            <a:gd name="T25" fmla="*/ T24 w 20"/>
                            <a:gd name="T26" fmla="+- 0 6799 6779"/>
                            <a:gd name="T27" fmla="*/ 6799 h 20"/>
                            <a:gd name="T28" fmla="+- 0 7080 7077"/>
                            <a:gd name="T29" fmla="*/ T28 w 20"/>
                            <a:gd name="T30" fmla="+- 0 6796 6779"/>
                            <a:gd name="T31" fmla="*/ 6796 h 20"/>
                            <a:gd name="T32" fmla="+- 0 7077 7077"/>
                            <a:gd name="T33" fmla="*/ T32 w 20"/>
                            <a:gd name="T34" fmla="+- 0 6789 6779"/>
                            <a:gd name="T35" fmla="*/ 678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4B04" id="Freeform 1396" o:spid="_x0000_s1026" alt="&quot;&quot;" style="position:absolute;margin-left:353.85pt;margin-top:338.95pt;width:1pt;height:1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" path="m,10l3,3,10,r7,3l20,10r-3,7l10,20,3,17,,10xe" fillcolor="#22b893" stroked="f">
                <v:path arrowok="t" o:connecttype="custom" o:connectlocs="0,4311015;1905,4306570;6350,4304665;10795,4306570;12700,4311015;10795,4315460;6350,4317365;1905,4315460;0,4311015"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046336" behindDoc="1" locked="0" layoutInCell="1" allowOverlap="1" wp14:anchorId="2B6059B7" wp14:editId="759E785D">
                <wp:simplePos x="0" y="0"/>
                <wp:positionH relativeFrom="page">
                  <wp:posOffset>4493895</wp:posOffset>
                </wp:positionH>
                <wp:positionV relativeFrom="page">
                  <wp:posOffset>1216660</wp:posOffset>
                </wp:positionV>
                <wp:extent cx="12700" cy="12700"/>
                <wp:effectExtent l="7620" t="6985" r="8255" b="8890"/>
                <wp:wrapNone/>
                <wp:docPr id="1395" name="Freeform 1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7077 7077"/>
                            <a:gd name="T1" fmla="*/ T0 w 20"/>
                            <a:gd name="T2" fmla="+- 0 1926 1916"/>
                            <a:gd name="T3" fmla="*/ 1926 h 20"/>
                            <a:gd name="T4" fmla="+- 0 7080 7077"/>
                            <a:gd name="T5" fmla="*/ T4 w 20"/>
                            <a:gd name="T6" fmla="+- 0 1919 1916"/>
                            <a:gd name="T7" fmla="*/ 1919 h 20"/>
                            <a:gd name="T8" fmla="+- 0 7087 7077"/>
                            <a:gd name="T9" fmla="*/ T8 w 20"/>
                            <a:gd name="T10" fmla="+- 0 1916 1916"/>
                            <a:gd name="T11" fmla="*/ 1916 h 20"/>
                            <a:gd name="T12" fmla="+- 0 7094 7077"/>
                            <a:gd name="T13" fmla="*/ T12 w 20"/>
                            <a:gd name="T14" fmla="+- 0 1919 1916"/>
                            <a:gd name="T15" fmla="*/ 1919 h 20"/>
                            <a:gd name="T16" fmla="+- 0 7097 7077"/>
                            <a:gd name="T17" fmla="*/ T16 w 20"/>
                            <a:gd name="T18" fmla="+- 0 1926 1916"/>
                            <a:gd name="T19" fmla="*/ 1926 h 20"/>
                            <a:gd name="T20" fmla="+- 0 7094 7077"/>
                            <a:gd name="T21" fmla="*/ T20 w 20"/>
                            <a:gd name="T22" fmla="+- 0 1933 1916"/>
                            <a:gd name="T23" fmla="*/ 1933 h 20"/>
                            <a:gd name="T24" fmla="+- 0 7087 7077"/>
                            <a:gd name="T25" fmla="*/ T24 w 20"/>
                            <a:gd name="T26" fmla="+- 0 1936 1916"/>
                            <a:gd name="T27" fmla="*/ 1936 h 20"/>
                            <a:gd name="T28" fmla="+- 0 7080 7077"/>
                            <a:gd name="T29" fmla="*/ T28 w 20"/>
                            <a:gd name="T30" fmla="+- 0 1933 1916"/>
                            <a:gd name="T31" fmla="*/ 1933 h 20"/>
                            <a:gd name="T32" fmla="+- 0 7077 7077"/>
                            <a:gd name="T33" fmla="*/ T32 w 20"/>
                            <a:gd name="T34" fmla="+- 0 1926 1916"/>
                            <a:gd name="T35" fmla="*/ 192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4B8A0" id="Freeform 1395" o:spid="_x0000_s1026" alt="&quot;&quot;" style="position:absolute;margin-left:353.85pt;margin-top:95.8pt;width:1pt;height:1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" path="m,10l3,3,10,r7,3l20,10r-3,7l10,20,3,17,,10xe" fillcolor="#22b893" stroked="f">
                <v:path arrowok="t" o:connecttype="custom" o:connectlocs="0,1223010;1905,1218565;6350,1216660;10795,1218565;12700,1223010;10795,1227455;6350,1229360;1905,1227455;0,1223010"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047360" behindDoc="1" locked="0" layoutInCell="1" allowOverlap="1" wp14:anchorId="07D5E8DB" wp14:editId="5B7C8E81">
                <wp:simplePos x="0" y="0"/>
                <wp:positionH relativeFrom="page">
                  <wp:posOffset>4493895</wp:posOffset>
                </wp:positionH>
                <wp:positionV relativeFrom="page">
                  <wp:posOffset>7290435</wp:posOffset>
                </wp:positionV>
                <wp:extent cx="12700" cy="12700"/>
                <wp:effectExtent l="7620" t="3810" r="8255" b="2540"/>
                <wp:wrapNone/>
                <wp:docPr id="1394" name="Freeform 1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7077 7077"/>
                            <a:gd name="T1" fmla="*/ T0 w 20"/>
                            <a:gd name="T2" fmla="+- 0 11491 11481"/>
                            <a:gd name="T3" fmla="*/ 11491 h 20"/>
                            <a:gd name="T4" fmla="+- 0 7080 7077"/>
                            <a:gd name="T5" fmla="*/ T4 w 20"/>
                            <a:gd name="T6" fmla="+- 0 11484 11481"/>
                            <a:gd name="T7" fmla="*/ 11484 h 20"/>
                            <a:gd name="T8" fmla="+- 0 7087 7077"/>
                            <a:gd name="T9" fmla="*/ T8 w 20"/>
                            <a:gd name="T10" fmla="+- 0 11481 11481"/>
                            <a:gd name="T11" fmla="*/ 11481 h 20"/>
                            <a:gd name="T12" fmla="+- 0 7094 7077"/>
                            <a:gd name="T13" fmla="*/ T12 w 20"/>
                            <a:gd name="T14" fmla="+- 0 11484 11481"/>
                            <a:gd name="T15" fmla="*/ 11484 h 20"/>
                            <a:gd name="T16" fmla="+- 0 7097 7077"/>
                            <a:gd name="T17" fmla="*/ T16 w 20"/>
                            <a:gd name="T18" fmla="+- 0 11491 11481"/>
                            <a:gd name="T19" fmla="*/ 11491 h 20"/>
                            <a:gd name="T20" fmla="+- 0 7094 7077"/>
                            <a:gd name="T21" fmla="*/ T20 w 20"/>
                            <a:gd name="T22" fmla="+- 0 11498 11481"/>
                            <a:gd name="T23" fmla="*/ 11498 h 20"/>
                            <a:gd name="T24" fmla="+- 0 7087 7077"/>
                            <a:gd name="T25" fmla="*/ T24 w 20"/>
                            <a:gd name="T26" fmla="+- 0 11501 11481"/>
                            <a:gd name="T27" fmla="*/ 11501 h 20"/>
                            <a:gd name="T28" fmla="+- 0 7080 7077"/>
                            <a:gd name="T29" fmla="*/ T28 w 20"/>
                            <a:gd name="T30" fmla="+- 0 11498 11481"/>
                            <a:gd name="T31" fmla="*/ 11498 h 20"/>
                            <a:gd name="T32" fmla="+- 0 7077 7077"/>
                            <a:gd name="T33" fmla="*/ T32 w 20"/>
                            <a:gd name="T34" fmla="+- 0 11491 11481"/>
                            <a:gd name="T35" fmla="*/ 1149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045AE" id="Freeform 1394" o:spid="_x0000_s1026" alt="&quot;&quot;" style="position:absolute;margin-left:353.85pt;margin-top:574.05pt;width:1pt;height:1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" path="m,10l3,3,10,r7,3l20,10r-3,7l10,20,3,17,,10xe" fillcolor="#22b893" stroked="f">
                <v:path arrowok="t" o:connecttype="custom" o:connectlocs="0,7296785;1905,7292340;6350,7290435;10795,7292340;12700,7296785;10795,7301230;6350,7303135;1905,7301230;0,7296785"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048384" behindDoc="1" locked="0" layoutInCell="1" allowOverlap="1" wp14:anchorId="68E6B48D" wp14:editId="5473DB7B">
                <wp:simplePos x="0" y="0"/>
                <wp:positionH relativeFrom="page">
                  <wp:posOffset>4493895</wp:posOffset>
                </wp:positionH>
                <wp:positionV relativeFrom="page">
                  <wp:posOffset>4770120</wp:posOffset>
                </wp:positionV>
                <wp:extent cx="12700" cy="12700"/>
                <wp:effectExtent l="7620" t="7620" r="8255" b="8255"/>
                <wp:wrapNone/>
                <wp:docPr id="1393" name="Freeform 1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7077 7077"/>
                            <a:gd name="T1" fmla="*/ T0 w 20"/>
                            <a:gd name="T2" fmla="+- 0 7522 7512"/>
                            <a:gd name="T3" fmla="*/ 7522 h 20"/>
                            <a:gd name="T4" fmla="+- 0 7080 7077"/>
                            <a:gd name="T5" fmla="*/ T4 w 20"/>
                            <a:gd name="T6" fmla="+- 0 7515 7512"/>
                            <a:gd name="T7" fmla="*/ 7515 h 20"/>
                            <a:gd name="T8" fmla="+- 0 7087 7077"/>
                            <a:gd name="T9" fmla="*/ T8 w 20"/>
                            <a:gd name="T10" fmla="+- 0 7512 7512"/>
                            <a:gd name="T11" fmla="*/ 7512 h 20"/>
                            <a:gd name="T12" fmla="+- 0 7094 7077"/>
                            <a:gd name="T13" fmla="*/ T12 w 20"/>
                            <a:gd name="T14" fmla="+- 0 7515 7512"/>
                            <a:gd name="T15" fmla="*/ 7515 h 20"/>
                            <a:gd name="T16" fmla="+- 0 7097 7077"/>
                            <a:gd name="T17" fmla="*/ T16 w 20"/>
                            <a:gd name="T18" fmla="+- 0 7522 7512"/>
                            <a:gd name="T19" fmla="*/ 7522 h 20"/>
                            <a:gd name="T20" fmla="+- 0 7094 7077"/>
                            <a:gd name="T21" fmla="*/ T20 w 20"/>
                            <a:gd name="T22" fmla="+- 0 7529 7512"/>
                            <a:gd name="T23" fmla="*/ 7529 h 20"/>
                            <a:gd name="T24" fmla="+- 0 7087 7077"/>
                            <a:gd name="T25" fmla="*/ T24 w 20"/>
                            <a:gd name="T26" fmla="+- 0 7532 7512"/>
                            <a:gd name="T27" fmla="*/ 7532 h 20"/>
                            <a:gd name="T28" fmla="+- 0 7080 7077"/>
                            <a:gd name="T29" fmla="*/ T28 w 20"/>
                            <a:gd name="T30" fmla="+- 0 7529 7512"/>
                            <a:gd name="T31" fmla="*/ 7529 h 20"/>
                            <a:gd name="T32" fmla="+- 0 7077 7077"/>
                            <a:gd name="T33" fmla="*/ T32 w 20"/>
                            <a:gd name="T34" fmla="+- 0 7522 7512"/>
                            <a:gd name="T35" fmla="*/ 752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0D50" id="Freeform 1393" o:spid="_x0000_s1026" alt="&quot;&quot;" style="position:absolute;margin-left:353.85pt;margin-top:375.6pt;width:1pt;height:1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" path="m,10l3,3,10,r7,3l20,10r-3,7l10,20,3,17,,10xe" fillcolor="#22b893" stroked="f">
                <v:path arrowok="t" o:connecttype="custom" o:connectlocs="0,4776470;1905,4772025;6350,4770120;10795,4772025;12700,4776470;10795,4780915;6350,4782820;1905,4780915;0,4776470" o:connectangles="0,0,0,0,0,0,0,0,0"/>
                <w10:wrap anchorx="page" anchory="page"/>
              </v:shape>
            </w:pict>
          </mc:Fallback>
        </mc:AlternateContent>
      </w: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4A47C5" w14:paraId="557231A9" w14:textId="77777777" w:rsidTr="00351028">
        <w:trPr>
          <w:cantSplit/>
        </w:trPr>
        <w:tc>
          <w:tcPr>
            <w:tcW w:w="426" w:type="dxa"/>
            <w:tcBorders>
              <w:right w:val="single" w:sz="48" w:space="0" w:color="FFFFFF" w:themeColor="background1"/>
            </w:tcBorders>
            <w:shd w:val="clear" w:color="auto" w:fill="22B893"/>
          </w:tcPr>
          <w:p w14:paraId="2BE6EF36" w14:textId="77777777" w:rsidR="004A47C5" w:rsidRDefault="004A47C5" w:rsidP="00351028"/>
        </w:tc>
        <w:tc>
          <w:tcPr>
            <w:tcW w:w="7371" w:type="dxa"/>
          </w:tcPr>
          <w:p w14:paraId="5573AC2E" w14:textId="77777777" w:rsidR="004A47C5" w:rsidRPr="004A47C5" w:rsidRDefault="004A47C5" w:rsidP="00351028">
            <w:pPr>
              <w:pStyle w:val="TableText"/>
              <w:rPr>
                <w:sz w:val="22"/>
                <w:szCs w:val="22"/>
              </w:rPr>
            </w:pPr>
            <w:r w:rsidRPr="00465AE2">
              <w:rPr>
                <w:b/>
                <w:sz w:val="22"/>
                <w:szCs w:val="22"/>
              </w:rPr>
              <w:t xml:space="preserve">Focus </w:t>
            </w:r>
            <w:r w:rsidRPr="004A47C5">
              <w:rPr>
                <w:b/>
                <w:sz w:val="22"/>
                <w:szCs w:val="22"/>
              </w:rPr>
              <w:t xml:space="preserve">area: </w:t>
            </w:r>
            <w:r w:rsidRPr="004A47C5">
              <w:rPr>
                <w:sz w:val="22"/>
                <w:szCs w:val="22"/>
              </w:rPr>
              <w:t>Decrease acceptability of (or denormalise) smoking in outdoor spaces</w:t>
            </w:r>
          </w:p>
          <w:p w14:paraId="51A13814" w14:textId="77777777" w:rsidR="004A47C5" w:rsidRPr="004A47C5" w:rsidRDefault="004A47C5" w:rsidP="004A47C5">
            <w:pPr>
              <w:pStyle w:val="TableText"/>
              <w:rPr>
                <w:sz w:val="20"/>
              </w:rPr>
            </w:pPr>
            <w:r w:rsidRPr="004A47C5">
              <w:rPr>
                <w:sz w:val="20"/>
              </w:rPr>
              <w:t>What do we know about the impact of smoking being allowed in outdoor spaces?</w:t>
            </w:r>
          </w:p>
          <w:p w14:paraId="30F1292A" w14:textId="77777777" w:rsidR="004A47C5" w:rsidRPr="00C000B2" w:rsidRDefault="004A47C5" w:rsidP="004A47C5">
            <w:pPr>
              <w:pStyle w:val="TableText"/>
            </w:pPr>
            <w:r w:rsidRPr="00C000B2">
              <w:t>Exposure to smoking in outdoor spaces, such as in hospitality settings, contributes to normalising smoking and providing cues to smoke.</w:t>
            </w:r>
            <w:r w:rsidRPr="004A47C5">
              <w:rPr>
                <w:vertAlign w:val="superscript"/>
              </w:rPr>
              <w:t>87,</w:t>
            </w:r>
            <w:r>
              <w:rPr>
                <w:vertAlign w:val="superscript"/>
              </w:rPr>
              <w:t> </w:t>
            </w:r>
            <w:r w:rsidRPr="004A47C5">
              <w:rPr>
                <w:vertAlign w:val="superscript"/>
              </w:rPr>
              <w:t>95</w:t>
            </w:r>
            <w:r w:rsidRPr="00C000B2">
              <w:t xml:space="preserve"> It is also associated with a reduced likelihood of a successful quit attempt.</w:t>
            </w:r>
            <w:r w:rsidRPr="004A47C5">
              <w:rPr>
                <w:vertAlign w:val="superscript"/>
              </w:rPr>
              <w:t>104</w:t>
            </w:r>
          </w:p>
          <w:p w14:paraId="2EC4F831" w14:textId="77777777" w:rsidR="004A47C5" w:rsidRDefault="004A47C5" w:rsidP="00351028">
            <w:pPr>
              <w:pStyle w:val="TableText"/>
            </w:pPr>
            <w:r w:rsidRPr="00C000B2">
              <w:rPr>
                <w:noProof/>
                <w:lang w:eastAsia="en-NZ"/>
              </w:rPr>
              <mc:AlternateContent>
                <mc:Choice Requires="wps">
                  <w:drawing>
                    <wp:anchor distT="0" distB="0" distL="114300" distR="114300" simplePos="0" relativeHeight="252162048" behindDoc="1" locked="0" layoutInCell="1" allowOverlap="1" wp14:anchorId="7EDE8CE7" wp14:editId="7BB7D7BE">
                      <wp:simplePos x="0" y="0"/>
                      <wp:positionH relativeFrom="page">
                        <wp:posOffset>4133850</wp:posOffset>
                      </wp:positionH>
                      <wp:positionV relativeFrom="paragraph">
                        <wp:posOffset>836295</wp:posOffset>
                      </wp:positionV>
                      <wp:extent cx="12700" cy="12700"/>
                      <wp:effectExtent l="0" t="8890" r="6350" b="6985"/>
                      <wp:wrapNone/>
                      <wp:docPr id="1975" name="Freeform 1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510 6510"/>
                                  <a:gd name="T1" fmla="*/ T0 w 20"/>
                                  <a:gd name="T2" fmla="+- 0 1327 1317"/>
                                  <a:gd name="T3" fmla="*/ 1327 h 20"/>
                                  <a:gd name="T4" fmla="+- 0 6513 6510"/>
                                  <a:gd name="T5" fmla="*/ T4 w 20"/>
                                  <a:gd name="T6" fmla="+- 0 1320 1317"/>
                                  <a:gd name="T7" fmla="*/ 1320 h 20"/>
                                  <a:gd name="T8" fmla="+- 0 6520 6510"/>
                                  <a:gd name="T9" fmla="*/ T8 w 20"/>
                                  <a:gd name="T10" fmla="+- 0 1317 1317"/>
                                  <a:gd name="T11" fmla="*/ 1317 h 20"/>
                                  <a:gd name="T12" fmla="+- 0 6527 6510"/>
                                  <a:gd name="T13" fmla="*/ T12 w 20"/>
                                  <a:gd name="T14" fmla="+- 0 1320 1317"/>
                                  <a:gd name="T15" fmla="*/ 1320 h 20"/>
                                  <a:gd name="T16" fmla="+- 0 6530 6510"/>
                                  <a:gd name="T17" fmla="*/ T16 w 20"/>
                                  <a:gd name="T18" fmla="+- 0 1327 1317"/>
                                  <a:gd name="T19" fmla="*/ 1327 h 20"/>
                                  <a:gd name="T20" fmla="+- 0 6527 6510"/>
                                  <a:gd name="T21" fmla="*/ T20 w 20"/>
                                  <a:gd name="T22" fmla="+- 0 1334 1317"/>
                                  <a:gd name="T23" fmla="*/ 1334 h 20"/>
                                  <a:gd name="T24" fmla="+- 0 6520 6510"/>
                                  <a:gd name="T25" fmla="*/ T24 w 20"/>
                                  <a:gd name="T26" fmla="+- 0 1337 1317"/>
                                  <a:gd name="T27" fmla="*/ 1337 h 20"/>
                                  <a:gd name="T28" fmla="+- 0 6513 6510"/>
                                  <a:gd name="T29" fmla="*/ T28 w 20"/>
                                  <a:gd name="T30" fmla="+- 0 1334 1317"/>
                                  <a:gd name="T31" fmla="*/ 1334 h 20"/>
                                  <a:gd name="T32" fmla="+- 0 6510 6510"/>
                                  <a:gd name="T33" fmla="*/ T32 w 20"/>
                                  <a:gd name="T34" fmla="+- 0 1327 1317"/>
                                  <a:gd name="T35" fmla="*/ 13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ED36C" id="Freeform 1975" o:spid="_x0000_s1026" alt="&quot;&quot;" style="position:absolute;margin-left:325.5pt;margin-top:65.85pt;width:1pt;height:1pt;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" path="m,10l3,3,10,r7,3l20,10r-3,7l10,20,3,17,,10xe" fillcolor="#22b893" stroked="f">
                      <v:path arrowok="t" o:connecttype="custom" o:connectlocs="0,842645;1905,838200;6350,836295;10795,838200;12700,842645;10795,847090;6350,848995;1905,847090;0,842645" o:connectangles="0,0,0,0,0,0,0,0,0"/>
                      <w10:wrap anchorx="page"/>
                    </v:shape>
                  </w:pict>
                </mc:Fallback>
              </mc:AlternateContent>
            </w:r>
            <w:r w:rsidRPr="00C000B2">
              <w:t>In Aotearoa, seeing smoking around you at a neighbourhood level increases the likelihood of starti</w:t>
            </w:r>
            <w:r>
              <w:t>ng smoking.</w:t>
            </w:r>
            <w:r w:rsidRPr="004A47C5">
              <w:rPr>
                <w:vertAlign w:val="superscript"/>
              </w:rPr>
              <w:t>105</w:t>
            </w:r>
          </w:p>
        </w:tc>
      </w:tr>
    </w:tbl>
    <w:p w14:paraId="18E813A3" w14:textId="77777777" w:rsidR="00EF27EC" w:rsidRPr="00C000B2" w:rsidRDefault="00EF27EC" w:rsidP="004A47C5">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3402"/>
      </w:tblGrid>
      <w:tr w:rsidR="0029210A" w:rsidRPr="00AB3864" w14:paraId="0DB88AEC" w14:textId="77777777" w:rsidTr="00AB11A2">
        <w:trPr>
          <w:cantSplit/>
        </w:trPr>
        <w:tc>
          <w:tcPr>
            <w:tcW w:w="8080" w:type="dxa"/>
            <w:gridSpan w:val="2"/>
            <w:tcBorders>
              <w:bottom w:val="nil"/>
            </w:tcBorders>
            <w:shd w:val="clear" w:color="auto" w:fill="D7EDE4"/>
          </w:tcPr>
          <w:p w14:paraId="1A4615A1" w14:textId="77777777" w:rsidR="0029210A" w:rsidRPr="00AB3864" w:rsidRDefault="0029210A" w:rsidP="00AB11A2">
            <w:pPr>
              <w:pStyle w:val="TableText"/>
              <w:rPr>
                <w:b/>
                <w:sz w:val="22"/>
                <w:szCs w:val="22"/>
              </w:rPr>
            </w:pPr>
            <w:r w:rsidRPr="00AB3864">
              <w:rPr>
                <w:b/>
                <w:sz w:val="22"/>
                <w:szCs w:val="22"/>
              </w:rPr>
              <w:t xml:space="preserve">Action: </w:t>
            </w:r>
            <w:r w:rsidR="004A47C5" w:rsidRPr="004A47C5">
              <w:rPr>
                <w:sz w:val="22"/>
                <w:szCs w:val="22"/>
              </w:rPr>
              <w:t>Introduce comprehensive restrictions on smoking in outdoor spaces</w:t>
            </w:r>
          </w:p>
        </w:tc>
      </w:tr>
      <w:tr w:rsidR="0029210A" w14:paraId="3E59A47D" w14:textId="77777777" w:rsidTr="00AB11A2">
        <w:trPr>
          <w:cantSplit/>
        </w:trPr>
        <w:tc>
          <w:tcPr>
            <w:tcW w:w="4678" w:type="dxa"/>
            <w:tcBorders>
              <w:top w:val="nil"/>
              <w:bottom w:val="single" w:sz="8" w:space="0" w:color="22B893"/>
              <w:right w:val="dashed" w:sz="4" w:space="0" w:color="22B893"/>
            </w:tcBorders>
          </w:tcPr>
          <w:p w14:paraId="7BB63382" w14:textId="77777777" w:rsidR="0029210A" w:rsidRPr="00AB3864" w:rsidRDefault="0029210A" w:rsidP="00AB11A2">
            <w:pPr>
              <w:pStyle w:val="TableText"/>
              <w:ind w:right="142"/>
              <w:rPr>
                <w:sz w:val="20"/>
              </w:rPr>
            </w:pPr>
            <w:r w:rsidRPr="00AB3864">
              <w:rPr>
                <w:sz w:val="20"/>
              </w:rPr>
              <w:t>What is the evidence?</w:t>
            </w:r>
          </w:p>
          <w:p w14:paraId="17E2EFC6" w14:textId="77777777" w:rsidR="004A47C5" w:rsidRPr="00C000B2" w:rsidRDefault="004A47C5" w:rsidP="004A47C5">
            <w:pPr>
              <w:pStyle w:val="TableText"/>
              <w:ind w:right="113"/>
            </w:pPr>
            <w:r w:rsidRPr="00C000B2">
              <w:t>Outdoor smoking bans help to normalise non-smoking and are associated with reduced smoking prevalence, increased quit rates and fewer relapses.</w:t>
            </w:r>
            <w:r w:rsidRPr="004A47C5">
              <w:rPr>
                <w:vertAlign w:val="superscript"/>
              </w:rPr>
              <w:t>89,</w:t>
            </w:r>
            <w:r>
              <w:rPr>
                <w:vertAlign w:val="superscript"/>
              </w:rPr>
              <w:t> </w:t>
            </w:r>
            <w:r w:rsidRPr="004A47C5">
              <w:rPr>
                <w:vertAlign w:val="superscript"/>
              </w:rPr>
              <w:t>104,</w:t>
            </w:r>
            <w:r>
              <w:rPr>
                <w:vertAlign w:val="superscript"/>
              </w:rPr>
              <w:t> </w:t>
            </w:r>
            <w:r w:rsidRPr="004A47C5">
              <w:rPr>
                <w:vertAlign w:val="superscript"/>
              </w:rPr>
              <w:t>106</w:t>
            </w:r>
          </w:p>
          <w:p w14:paraId="781547FB" w14:textId="77777777" w:rsidR="004A47C5" w:rsidRPr="00C000B2" w:rsidRDefault="004A47C5" w:rsidP="004A47C5">
            <w:pPr>
              <w:pStyle w:val="TableText"/>
              <w:ind w:right="113"/>
            </w:pPr>
            <w:r w:rsidRPr="00C000B2">
              <w:t xml:space="preserve">Many jurisdictions in other countries (such as the USA, </w:t>
            </w:r>
            <w:proofErr w:type="gramStart"/>
            <w:r w:rsidRPr="00C000B2">
              <w:t>Australia</w:t>
            </w:r>
            <w:proofErr w:type="gramEnd"/>
            <w:r w:rsidRPr="00C000B2">
              <w:t xml:space="preserve"> and Canada) have comprehensive laws for a range of </w:t>
            </w:r>
            <w:proofErr w:type="spellStart"/>
            <w:r w:rsidRPr="00C000B2">
              <w:t>smokefree</w:t>
            </w:r>
            <w:proofErr w:type="spellEnd"/>
            <w:r w:rsidRPr="00C000B2">
              <w:t xml:space="preserve"> outdoor areas.</w:t>
            </w:r>
            <w:r w:rsidRPr="004A47C5">
              <w:rPr>
                <w:vertAlign w:val="superscript"/>
              </w:rPr>
              <w:t>89</w:t>
            </w:r>
          </w:p>
          <w:p w14:paraId="63776C35" w14:textId="77777777" w:rsidR="0029210A" w:rsidRDefault="004A47C5" w:rsidP="004A47C5">
            <w:pPr>
              <w:pStyle w:val="TableText"/>
              <w:ind w:right="113"/>
            </w:pPr>
            <w:r w:rsidRPr="00C000B2">
              <w:t xml:space="preserve">There is widespread public support in Aotearoa for </w:t>
            </w:r>
            <w:proofErr w:type="spellStart"/>
            <w:r w:rsidRPr="00C000B2">
              <w:t>smokefree</w:t>
            </w:r>
            <w:proofErr w:type="spellEnd"/>
            <w:r w:rsidRPr="00C000B2">
              <w:t xml:space="preserve"> outdoor spaces such as greenspaces, entrances to buildings, transport waiting areas and venues with outdoor dining.</w:t>
            </w:r>
            <w:r w:rsidRPr="004A47C5">
              <w:rPr>
                <w:vertAlign w:val="superscript"/>
              </w:rPr>
              <w:t>95,</w:t>
            </w:r>
            <w:r>
              <w:rPr>
                <w:vertAlign w:val="superscript"/>
              </w:rPr>
              <w:t> </w:t>
            </w:r>
            <w:r w:rsidRPr="004A47C5">
              <w:rPr>
                <w:vertAlign w:val="superscript"/>
              </w:rPr>
              <w:t>107</w:t>
            </w:r>
          </w:p>
        </w:tc>
        <w:tc>
          <w:tcPr>
            <w:tcW w:w="3402" w:type="dxa"/>
            <w:tcBorders>
              <w:top w:val="nil"/>
              <w:left w:val="dashed" w:sz="4" w:space="0" w:color="22B893"/>
              <w:bottom w:val="single" w:sz="8" w:space="0" w:color="22B893"/>
            </w:tcBorders>
          </w:tcPr>
          <w:p w14:paraId="777F0930" w14:textId="77777777" w:rsidR="0029210A" w:rsidRPr="00AB3864" w:rsidRDefault="0029210A" w:rsidP="00AB11A2">
            <w:pPr>
              <w:pStyle w:val="TableText"/>
              <w:ind w:left="113"/>
              <w:rPr>
                <w:sz w:val="20"/>
              </w:rPr>
            </w:pPr>
            <w:r w:rsidRPr="00AB3864">
              <w:rPr>
                <w:sz w:val="20"/>
              </w:rPr>
              <w:t>What is Aotearoa doing currently?</w:t>
            </w:r>
          </w:p>
          <w:p w14:paraId="5F9071C5" w14:textId="77777777" w:rsidR="004A47C5" w:rsidRPr="00C000B2" w:rsidRDefault="004A47C5" w:rsidP="004A47C5">
            <w:pPr>
              <w:pStyle w:val="TableText"/>
              <w:ind w:left="113"/>
            </w:pPr>
            <w:r w:rsidRPr="00C000B2">
              <w:t>Currently, legislation only prohibits smoking in outdoor areas around schools and early childhood centres. It does not prohibit smoking in any other outdoor spaces.</w:t>
            </w:r>
          </w:p>
          <w:p w14:paraId="43696BCE" w14:textId="77777777" w:rsidR="0029210A" w:rsidRDefault="004A47C5" w:rsidP="004A47C5">
            <w:pPr>
              <w:pStyle w:val="TableText"/>
              <w:ind w:left="113"/>
            </w:pPr>
            <w:r w:rsidRPr="00C000B2">
              <w:t xml:space="preserve">Many local councils, district health boards, universities, </w:t>
            </w:r>
            <w:proofErr w:type="gramStart"/>
            <w:r w:rsidRPr="00C000B2">
              <w:t>iwi</w:t>
            </w:r>
            <w:proofErr w:type="gramEnd"/>
            <w:r w:rsidRPr="00C000B2">
              <w:t xml:space="preserve"> and some commercial enterprises have voluntarily implemented </w:t>
            </w:r>
            <w:proofErr w:type="spellStart"/>
            <w:r w:rsidRPr="00C000B2">
              <w:t>smokefree</w:t>
            </w:r>
            <w:proofErr w:type="spellEnd"/>
            <w:r w:rsidRPr="00C000B2">
              <w:t xml:space="preserve"> outdoor policies.</w:t>
            </w:r>
            <w:r w:rsidRPr="004A47C5">
              <w:rPr>
                <w:vertAlign w:val="superscript"/>
              </w:rPr>
              <w:t>95,</w:t>
            </w:r>
            <w:r>
              <w:rPr>
                <w:vertAlign w:val="superscript"/>
              </w:rPr>
              <w:t> </w:t>
            </w:r>
            <w:r w:rsidRPr="004A47C5">
              <w:rPr>
                <w:vertAlign w:val="superscript"/>
              </w:rPr>
              <w:t>108</w:t>
            </w:r>
            <w:r w:rsidRPr="00C000B2">
              <w:t xml:space="preserve"> These measures, however, are inconsistent and not nationally mandated.</w:t>
            </w:r>
          </w:p>
        </w:tc>
      </w:tr>
    </w:tbl>
    <w:p w14:paraId="10082368" w14:textId="77777777" w:rsidR="0029210A" w:rsidRPr="00C000B2" w:rsidRDefault="0029210A" w:rsidP="004A47C5">
      <w:pPr>
        <w:spacing w:after="240"/>
      </w:pPr>
    </w:p>
    <w:p w14:paraId="23431803" w14:textId="77777777" w:rsidR="00EF27EC" w:rsidRPr="00C000B2" w:rsidRDefault="00EF27EC" w:rsidP="004A47C5">
      <w:pPr>
        <w:keepNext/>
        <w:keepLines/>
      </w:pPr>
      <w:r w:rsidRPr="00C000B2">
        <w:rPr>
          <w:noProof/>
          <w:lang w:eastAsia="en-NZ"/>
        </w:rPr>
        <w:lastRenderedPageBreak/>
        <mc:AlternateContent>
          <mc:Choice Requires="wps">
            <w:drawing>
              <wp:anchor distT="0" distB="0" distL="114300" distR="114300" simplePos="0" relativeHeight="252049408" behindDoc="1" locked="0" layoutInCell="1" allowOverlap="1" wp14:anchorId="69405C26" wp14:editId="56DCA0F6">
                <wp:simplePos x="0" y="0"/>
                <wp:positionH relativeFrom="page">
                  <wp:posOffset>4133850</wp:posOffset>
                </wp:positionH>
                <wp:positionV relativeFrom="paragraph">
                  <wp:posOffset>-24765</wp:posOffset>
                </wp:positionV>
                <wp:extent cx="12700" cy="12700"/>
                <wp:effectExtent l="0" t="5080" r="6350" b="1270"/>
                <wp:wrapNone/>
                <wp:docPr id="1390" name="Freeform 1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510 6510"/>
                            <a:gd name="T1" fmla="*/ T0 w 20"/>
                            <a:gd name="T2" fmla="+- 0 -29 -39"/>
                            <a:gd name="T3" fmla="*/ -29 h 20"/>
                            <a:gd name="T4" fmla="+- 0 6513 6510"/>
                            <a:gd name="T5" fmla="*/ T4 w 20"/>
                            <a:gd name="T6" fmla="+- 0 -36 -39"/>
                            <a:gd name="T7" fmla="*/ -36 h 20"/>
                            <a:gd name="T8" fmla="+- 0 6520 6510"/>
                            <a:gd name="T9" fmla="*/ T8 w 20"/>
                            <a:gd name="T10" fmla="+- 0 -39 -39"/>
                            <a:gd name="T11" fmla="*/ -39 h 20"/>
                            <a:gd name="T12" fmla="+- 0 6527 6510"/>
                            <a:gd name="T13" fmla="*/ T12 w 20"/>
                            <a:gd name="T14" fmla="+- 0 -36 -39"/>
                            <a:gd name="T15" fmla="*/ -36 h 20"/>
                            <a:gd name="T16" fmla="+- 0 6530 6510"/>
                            <a:gd name="T17" fmla="*/ T16 w 20"/>
                            <a:gd name="T18" fmla="+- 0 -29 -39"/>
                            <a:gd name="T19" fmla="*/ -29 h 20"/>
                            <a:gd name="T20" fmla="+- 0 6527 6510"/>
                            <a:gd name="T21" fmla="*/ T20 w 20"/>
                            <a:gd name="T22" fmla="+- 0 -22 -39"/>
                            <a:gd name="T23" fmla="*/ -22 h 20"/>
                            <a:gd name="T24" fmla="+- 0 6520 6510"/>
                            <a:gd name="T25" fmla="*/ T24 w 20"/>
                            <a:gd name="T26" fmla="+- 0 -19 -39"/>
                            <a:gd name="T27" fmla="*/ -19 h 20"/>
                            <a:gd name="T28" fmla="+- 0 6513 6510"/>
                            <a:gd name="T29" fmla="*/ T28 w 20"/>
                            <a:gd name="T30" fmla="+- 0 -22 -39"/>
                            <a:gd name="T31" fmla="*/ -22 h 20"/>
                            <a:gd name="T32" fmla="+- 0 6510 6510"/>
                            <a:gd name="T33" fmla="*/ T32 w 20"/>
                            <a:gd name="T34" fmla="+- 0 -29 -39"/>
                            <a:gd name="T35" fmla="*/ -2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DEC3C" id="Freeform 1390" o:spid="_x0000_s1026" alt="&quot;&quot;" style="position:absolute;margin-left:325.5pt;margin-top:-1.95pt;width:1pt;height:1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" path="m,10l3,3,10,r7,3l20,10r-3,7l10,20,3,17,,10xe" fillcolor="#22b893" stroked="f">
                <v:path arrowok="t" o:connecttype="custom" o:connectlocs="0,-18415;1905,-22860;6350,-24765;10795,-22860;12700,-18415;10795,-13970;6350,-12065;1905,-13970;0,-18415" o:connectangles="0,0,0,0,0,0,0,0,0"/>
                <w10:wrap anchorx="page"/>
              </v:shape>
            </w:pict>
          </mc:Fallback>
        </mc:AlternateContent>
      </w:r>
      <w:r w:rsidRPr="00C000B2">
        <w:t>The actions described above would occur in addition to intensifying existing tobacco control actions, as part of a comprehensive, multi-faceted tobacco control strategy. Existing tobacco control strategies are effective and cost-saving,</w:t>
      </w:r>
      <w:r w:rsidRPr="004A47C5">
        <w:rPr>
          <w:vertAlign w:val="superscript"/>
        </w:rPr>
        <w:t>71</w:t>
      </w:r>
      <w:r w:rsidRPr="00C000B2">
        <w:t xml:space="preserve"> but they have been less effective for Māori, Pacific </w:t>
      </w:r>
      <w:proofErr w:type="gramStart"/>
      <w:r w:rsidRPr="00C000B2">
        <w:t>peoples</w:t>
      </w:r>
      <w:proofErr w:type="gramEnd"/>
      <w:r w:rsidRPr="00C000B2">
        <w:t xml:space="preserve"> and low-income communities.</w:t>
      </w:r>
      <w:r w:rsidRPr="004A47C5">
        <w:rPr>
          <w:vertAlign w:val="superscript"/>
        </w:rPr>
        <w:t>47,</w:t>
      </w:r>
      <w:r w:rsidR="004A47C5">
        <w:rPr>
          <w:vertAlign w:val="superscript"/>
        </w:rPr>
        <w:t> </w:t>
      </w:r>
      <w:r w:rsidRPr="004A47C5">
        <w:rPr>
          <w:vertAlign w:val="superscript"/>
        </w:rPr>
        <w:t>48</w:t>
      </w:r>
      <w:r w:rsidRPr="00C000B2">
        <w:t xml:space="preserve"> For this reason, it is necessary to intensify and innovate with current activities in ways that are appropriate to these groups, including by supporting Māori to find and build solutions (by Māori, for Māori initiatives). The following three supporting actions would enhance or extend existing tobacco control activity.</w:t>
      </w:r>
    </w:p>
    <w:p w14:paraId="5FFCECA7" w14:textId="77777777" w:rsidR="00EF27EC" w:rsidRPr="004A47C5" w:rsidRDefault="00EF27EC" w:rsidP="004A47C5">
      <w:pPr>
        <w:pStyle w:val="Bullet"/>
        <w:spacing w:before="120"/>
      </w:pPr>
      <w:r w:rsidRPr="004A47C5">
        <w:rPr>
          <w:b/>
        </w:rPr>
        <w:t>Undertake enhanced mass and social media campaigns.</w:t>
      </w:r>
      <w:r w:rsidRPr="004A47C5">
        <w:t xml:space="preserve"> Mass media campaigns can effectively and cost-effectively reduce smoking prevalence and uptake among adults and young people, and is likely to have similar impacts on priority groups.</w:t>
      </w:r>
      <w:r w:rsidRPr="004A47C5">
        <w:rPr>
          <w:vertAlign w:val="superscript"/>
        </w:rPr>
        <w:t>109</w:t>
      </w:r>
      <w:r w:rsidRPr="004A47C5">
        <w:t xml:space="preserve"> Aotearoa has a history of campaigns focusing on the priority populations, including </w:t>
      </w:r>
      <w:proofErr w:type="spellStart"/>
      <w:r w:rsidRPr="004A47C5">
        <w:t>QuitStrong</w:t>
      </w:r>
      <w:proofErr w:type="spellEnd"/>
      <w:r w:rsidRPr="004A47C5">
        <w:t>, which has been in the market since 2019.</w:t>
      </w:r>
      <w:r w:rsidRPr="004A47C5">
        <w:rPr>
          <w:vertAlign w:val="superscript"/>
        </w:rPr>
        <w:t>110</w:t>
      </w:r>
      <w:r w:rsidRPr="004A47C5">
        <w:t xml:space="preserve"> A 2014 review of mass media campaigns in Aotearoa found they were poorly funded and most of them failed to include approaches that have the greatest impact on promoting quit attempts and reducing smoking initiation.</w:t>
      </w:r>
      <w:r w:rsidRPr="004A47C5">
        <w:rPr>
          <w:vertAlign w:val="superscript"/>
        </w:rPr>
        <w:t>111</w:t>
      </w:r>
      <w:r w:rsidRPr="004A47C5">
        <w:t xml:space="preserve"> The </w:t>
      </w:r>
      <w:proofErr w:type="spellStart"/>
      <w:r w:rsidRPr="004A47C5">
        <w:rPr>
          <w:i/>
        </w:rPr>
        <w:t>Smokefree</w:t>
      </w:r>
      <w:proofErr w:type="spellEnd"/>
      <w:r w:rsidRPr="004A47C5">
        <w:rPr>
          <w:i/>
        </w:rPr>
        <w:t xml:space="preserve"> Aotearoa 2025 Action Plan</w:t>
      </w:r>
      <w:r w:rsidRPr="004A47C5">
        <w:t xml:space="preserve"> includes commitment to increasing health promotion and community mobilisation, with leadership from the </w:t>
      </w:r>
      <w:proofErr w:type="spellStart"/>
      <w:r w:rsidRPr="004A47C5">
        <w:t>Smokefree</w:t>
      </w:r>
      <w:proofErr w:type="spellEnd"/>
      <w:r w:rsidRPr="004A47C5">
        <w:t xml:space="preserve"> Aotearoa 2025 Taskforce as well as Pacific communities.</w:t>
      </w:r>
      <w:r w:rsidRPr="004A47C5">
        <w:rPr>
          <w:vertAlign w:val="superscript"/>
        </w:rPr>
        <w:t>53</w:t>
      </w:r>
    </w:p>
    <w:p w14:paraId="050F9A0A" w14:textId="77777777" w:rsidR="00EF27EC" w:rsidRPr="00C000B2" w:rsidRDefault="00EF27EC" w:rsidP="004A47C5">
      <w:pPr>
        <w:pStyle w:val="Bullet"/>
        <w:spacing w:before="120"/>
        <w:rPr>
          <w:rFonts w:ascii="Calibri" w:hAnsi="Calibri"/>
        </w:rPr>
      </w:pPr>
      <w:r w:rsidRPr="004A47C5">
        <w:rPr>
          <w:b/>
        </w:rPr>
        <w:t>Introduce additional measures to increase the price of tobacco products</w:t>
      </w:r>
      <w:r w:rsidRPr="00834C75">
        <w:t xml:space="preserve">, </w:t>
      </w:r>
      <w:r w:rsidRPr="004A47C5">
        <w:t>such as setting a minimum unit price to make them less affordable for low-income smokers. In Aotearoa, the availability and sales of budget-brand tobacco products have increased.</w:t>
      </w:r>
      <w:r w:rsidRPr="004A47C5">
        <w:rPr>
          <w:vertAlign w:val="superscript"/>
        </w:rPr>
        <w:t>112,</w:t>
      </w:r>
      <w:r w:rsidR="004A47C5" w:rsidRPr="004A47C5">
        <w:rPr>
          <w:vertAlign w:val="superscript"/>
        </w:rPr>
        <w:t> </w:t>
      </w:r>
      <w:r w:rsidRPr="004A47C5">
        <w:rPr>
          <w:vertAlign w:val="superscript"/>
        </w:rPr>
        <w:t>113</w:t>
      </w:r>
      <w:r w:rsidRPr="004A47C5">
        <w:t xml:space="preserve"> The evidence on the impact of minimum price regulation, a relatively new policy measure, is promising</w:t>
      </w:r>
      <w:r w:rsidRPr="00C000B2">
        <w:t xml:space="preserve"> when it is part of a multifaceted strategy.</w:t>
      </w:r>
      <w:r w:rsidRPr="004A47C5">
        <w:rPr>
          <w:vertAlign w:val="superscript"/>
        </w:rPr>
        <w:t>109</w:t>
      </w:r>
    </w:p>
    <w:p w14:paraId="42951D2B" w14:textId="77777777" w:rsidR="00EF27EC" w:rsidRPr="00834C75" w:rsidRDefault="00EF27EC" w:rsidP="004A47C5">
      <w:pPr>
        <w:pStyle w:val="Bullet"/>
        <w:spacing w:before="120"/>
      </w:pPr>
      <w:r w:rsidRPr="00834C75">
        <w:rPr>
          <w:b/>
        </w:rPr>
        <w:t>Provide enhanced targeted smoking cessation support and advice for priority groups.</w:t>
      </w:r>
      <w:r w:rsidRPr="004A47C5">
        <w:t xml:space="preserve"> Smokers have several options for accessing support to stop smoking in Aotearoa currently, including the national Quitline service and community-based stop smoking services.</w:t>
      </w:r>
      <w:r w:rsidRPr="00834C75">
        <w:rPr>
          <w:vertAlign w:val="superscript"/>
        </w:rPr>
        <w:t>114</w:t>
      </w:r>
      <w:r w:rsidRPr="004A47C5">
        <w:t xml:space="preserve"> Evaluations have consistently found Quitline to be effective at stimulating quit attempts, particularly for Māori and those living in the most deprived communities.</w:t>
      </w:r>
      <w:r w:rsidRPr="00834C75">
        <w:rPr>
          <w:vertAlign w:val="superscript"/>
        </w:rPr>
        <w:t>115,</w:t>
      </w:r>
      <w:r w:rsidR="00834C75">
        <w:rPr>
          <w:vertAlign w:val="superscript"/>
        </w:rPr>
        <w:t> </w:t>
      </w:r>
      <w:r w:rsidRPr="00834C75">
        <w:rPr>
          <w:vertAlign w:val="superscript"/>
        </w:rPr>
        <w:t>116</w:t>
      </w:r>
      <w:r w:rsidRPr="004A47C5">
        <w:t xml:space="preserve"> The </w:t>
      </w:r>
      <w:proofErr w:type="spellStart"/>
      <w:r w:rsidRPr="00834C75">
        <w:rPr>
          <w:i/>
        </w:rPr>
        <w:t>Smokefree</w:t>
      </w:r>
      <w:proofErr w:type="spellEnd"/>
      <w:r w:rsidRPr="00834C75">
        <w:rPr>
          <w:i/>
        </w:rPr>
        <w:t xml:space="preserve"> Aotearoa 2025 Action Plan</w:t>
      </w:r>
      <w:r w:rsidRPr="00834C75">
        <w:t xml:space="preserve"> has a strong focus and multiple initiatives to increase evidence-based smoking services.</w:t>
      </w:r>
      <w:r w:rsidRPr="00834C75">
        <w:rPr>
          <w:vertAlign w:val="superscript"/>
        </w:rPr>
        <w:t>53</w:t>
      </w:r>
    </w:p>
    <w:p w14:paraId="6D8CC28D" w14:textId="77777777" w:rsidR="00834C75" w:rsidRDefault="00834C75" w:rsidP="00834C75"/>
    <w:p w14:paraId="4C108373" w14:textId="77777777" w:rsidR="00EF27EC" w:rsidRPr="00834C75" w:rsidRDefault="00EF27EC" w:rsidP="00834C75">
      <w:r w:rsidRPr="00C000B2">
        <w:t xml:space="preserve">The actions in the </w:t>
      </w:r>
      <w:proofErr w:type="spellStart"/>
      <w:r w:rsidRPr="00834C75">
        <w:rPr>
          <w:i/>
        </w:rPr>
        <w:t>Smokefree</w:t>
      </w:r>
      <w:proofErr w:type="spellEnd"/>
      <w:r w:rsidRPr="00834C75">
        <w:rPr>
          <w:i/>
        </w:rPr>
        <w:t xml:space="preserve"> Aotearoa 2025 Action Plan</w:t>
      </w:r>
      <w:r w:rsidRPr="00834C75">
        <w:rPr>
          <w:vertAlign w:val="superscript"/>
        </w:rPr>
        <w:t>53</w:t>
      </w:r>
      <w:r w:rsidRPr="00834C75">
        <w:t xml:space="preserve"> offer an unprecedented opportunity to eliminate smoking disparities and tackle one of the most preventable causes of cancer. If the action plan is implemented with strong Māori governance and a focus on equity, it will save thousands of lives and change the face of cancer for Aotearoa.</w:t>
      </w:r>
    </w:p>
    <w:p w14:paraId="308F9FBB" w14:textId="77777777" w:rsidR="00EF27EC" w:rsidRPr="00C000B2" w:rsidRDefault="00EF27EC" w:rsidP="00834C75"/>
    <w:p w14:paraId="10EF9151" w14:textId="77777777" w:rsidR="00EF27EC" w:rsidRPr="00C000B2" w:rsidRDefault="0000534D" w:rsidP="0000534D">
      <w:pPr>
        <w:pStyle w:val="Heading1"/>
      </w:pPr>
      <w:bookmarkStart w:id="67" w:name="Te_ārai_mate_pukupuku_e_hāngai_ana_ki_te"/>
      <w:bookmarkStart w:id="68" w:name="What_is_the_connection_between_alcohol_a"/>
      <w:bookmarkStart w:id="69" w:name="_Figure_8:_Cancers_related_to_alcohol"/>
      <w:bookmarkStart w:id="70" w:name="_bookmark14"/>
      <w:bookmarkStart w:id="71" w:name="_Toc95742652"/>
      <w:bookmarkEnd w:id="67"/>
      <w:bookmarkEnd w:id="68"/>
      <w:bookmarkEnd w:id="69"/>
      <w:bookmarkEnd w:id="70"/>
      <w:r w:rsidRPr="00C000B2">
        <w:lastRenderedPageBreak/>
        <w:t>Te Ārai Mate Pukupuku E Hāngai Ana Ki Te Waipiro</w:t>
      </w:r>
      <w:r>
        <w:br/>
      </w:r>
      <w:r w:rsidRPr="006B345B">
        <w:rPr>
          <w:color w:val="22B893"/>
        </w:rPr>
        <w:t xml:space="preserve">Preventing </w:t>
      </w:r>
      <w:r>
        <w:rPr>
          <w:color w:val="22B893"/>
        </w:rPr>
        <w:t>c</w:t>
      </w:r>
      <w:r w:rsidRPr="006B345B">
        <w:rPr>
          <w:color w:val="22B893"/>
        </w:rPr>
        <w:t xml:space="preserve">ancers </w:t>
      </w:r>
      <w:r>
        <w:rPr>
          <w:color w:val="22B893"/>
        </w:rPr>
        <w:t>r</w:t>
      </w:r>
      <w:r w:rsidRPr="006B345B">
        <w:rPr>
          <w:color w:val="22B893"/>
        </w:rPr>
        <w:t xml:space="preserve">elated </w:t>
      </w:r>
      <w:r>
        <w:rPr>
          <w:color w:val="22B893"/>
        </w:rPr>
        <w:t>t</w:t>
      </w:r>
      <w:r w:rsidRPr="006B345B">
        <w:rPr>
          <w:color w:val="22B893"/>
        </w:rPr>
        <w:t xml:space="preserve">o </w:t>
      </w:r>
      <w:r>
        <w:rPr>
          <w:color w:val="22B893"/>
        </w:rPr>
        <w:t>a</w:t>
      </w:r>
      <w:r w:rsidRPr="006B345B">
        <w:rPr>
          <w:color w:val="22B893"/>
        </w:rPr>
        <w:t>lcohol</w:t>
      </w:r>
      <w:bookmarkEnd w:id="71"/>
    </w:p>
    <w:p w14:paraId="51A695BC" w14:textId="77777777" w:rsidR="00EF27EC" w:rsidRPr="00C000B2" w:rsidRDefault="00EF27EC" w:rsidP="006B345B">
      <w:pPr>
        <w:pStyle w:val="Heading2"/>
      </w:pPr>
      <w:bookmarkStart w:id="72" w:name="_Toc95742653"/>
      <w:r w:rsidRPr="00C000B2">
        <w:t>What is the connection between alcohol and cancer?</w:t>
      </w:r>
      <w:bookmarkEnd w:id="72"/>
    </w:p>
    <w:p w14:paraId="7ECB27CF" w14:textId="1224179A" w:rsidR="00EF27EC" w:rsidRPr="00C000B2" w:rsidRDefault="00EF27EC" w:rsidP="006B345B">
      <w:r w:rsidRPr="00C000B2">
        <w:t>Alcohol causes many different types of cancer,45,117 including two of the most common cancers in Aotearoa – bowel cancer and breast cancer (</w:t>
      </w:r>
      <w:r w:rsidR="006B345B">
        <w:fldChar w:fldCharType="begin"/>
      </w:r>
      <w:r w:rsidR="006B345B">
        <w:instrText xml:space="preserve"> REF _Ref94789487 \h </w:instrText>
      </w:r>
      <w:r w:rsidR="006B345B">
        <w:fldChar w:fldCharType="separate"/>
      </w:r>
      <w:r w:rsidR="006E6019">
        <w:t>Figure </w:t>
      </w:r>
      <w:r w:rsidR="006E6019">
        <w:rPr>
          <w:noProof/>
        </w:rPr>
        <w:t>8</w:t>
      </w:r>
      <w:r w:rsidR="006B345B">
        <w:fldChar w:fldCharType="end"/>
      </w:r>
      <w:r w:rsidRPr="00C000B2">
        <w:t>). Alcohol was the cause of an estimated 950 new cancer cases in Aotearoa in 2020, of which 39 percent were bowel cancer cases and</w:t>
      </w:r>
      <w:r w:rsidR="006B345B">
        <w:t xml:space="preserve"> </w:t>
      </w:r>
      <w:r w:rsidRPr="00C000B2">
        <w:t>28 percent were breast cancer (</w:t>
      </w:r>
      <w:r w:rsidR="006B345B">
        <w:fldChar w:fldCharType="begin"/>
      </w:r>
      <w:r w:rsidR="006B345B">
        <w:instrText xml:space="preserve"> REF _Ref94789518 \h </w:instrText>
      </w:r>
      <w:r w:rsidR="006B345B">
        <w:fldChar w:fldCharType="separate"/>
      </w:r>
      <w:r w:rsidR="006E6019">
        <w:t>Figure </w:t>
      </w:r>
      <w:r w:rsidR="006E6019">
        <w:rPr>
          <w:noProof/>
        </w:rPr>
        <w:t>9</w:t>
      </w:r>
      <w:r w:rsidR="006B345B">
        <w:fldChar w:fldCharType="end"/>
      </w:r>
      <w:r w:rsidRPr="00C000B2">
        <w:t>). In 2020, alcohol also caused 32 percent of oral cavity and pharyngeal cancers, 23 percent of liver and laryngeal cancers, 16 percent of oesophageal cancers, 11 percent of bowel cancers and 7</w:t>
      </w:r>
      <w:r w:rsidR="006B345B">
        <w:t> </w:t>
      </w:r>
      <w:r w:rsidRPr="00C000B2">
        <w:t>percent of breast cancers in Aotearoa.</w:t>
      </w:r>
      <w:r w:rsidR="00F50B6E" w:rsidRPr="00F50B6E">
        <w:rPr>
          <w:vertAlign w:val="superscript"/>
        </w:rPr>
        <w:t>118</w:t>
      </w:r>
    </w:p>
    <w:p w14:paraId="52C31A39" w14:textId="77777777" w:rsidR="00EF27EC" w:rsidRPr="00C000B2" w:rsidRDefault="00EF27EC" w:rsidP="006B345B"/>
    <w:p w14:paraId="21D1D773" w14:textId="77777777" w:rsidR="00EF27EC" w:rsidRDefault="00EF27EC" w:rsidP="006B345B">
      <w:r w:rsidRPr="00C000B2">
        <w:t>In 2019, it was estimated that alcohol caused about 6 percent of all cancer deaths (over 640</w:t>
      </w:r>
      <w:r w:rsidR="006B345B">
        <w:t> </w:t>
      </w:r>
      <w:r w:rsidRPr="00C000B2">
        <w:t>deaths).</w:t>
      </w:r>
      <w:r w:rsidRPr="006B345B">
        <w:rPr>
          <w:vertAlign w:val="superscript"/>
        </w:rPr>
        <w:t>119</w:t>
      </w:r>
    </w:p>
    <w:p w14:paraId="0A4308FC" w14:textId="77777777" w:rsidR="006B345B" w:rsidRPr="00C000B2" w:rsidRDefault="006B345B" w:rsidP="006B345B"/>
    <w:p w14:paraId="48BC537C" w14:textId="77777777" w:rsidR="00EF27EC" w:rsidRPr="00C000B2" w:rsidRDefault="006B345B" w:rsidP="006B345B">
      <w:pPr>
        <w:pStyle w:val="Figure"/>
      </w:pPr>
      <w:bookmarkStart w:id="73" w:name="_Ref94789487"/>
      <w:bookmarkStart w:id="74" w:name="_Toc95059129"/>
      <w:r>
        <w:t>Figure </w:t>
      </w:r>
      <w:r w:rsidR="00F50B6E">
        <w:fldChar w:fldCharType="begin"/>
      </w:r>
      <w:r w:rsidR="00F50B6E">
        <w:instrText xml:space="preserve"> </w:instrText>
      </w:r>
      <w:r w:rsidR="00F50B6E">
        <w:instrText xml:space="preserve">SEQ Figure \* ARABIC </w:instrText>
      </w:r>
      <w:r w:rsidR="00F50B6E">
        <w:fldChar w:fldCharType="separate"/>
      </w:r>
      <w:r w:rsidR="006E6019">
        <w:rPr>
          <w:noProof/>
        </w:rPr>
        <w:t>8</w:t>
      </w:r>
      <w:r w:rsidR="00F50B6E">
        <w:rPr>
          <w:noProof/>
        </w:rPr>
        <w:fldChar w:fldCharType="end"/>
      </w:r>
      <w:bookmarkEnd w:id="73"/>
      <w:r w:rsidR="00EF27EC" w:rsidRPr="00C000B2">
        <w:t>: Cancers related to alcohol</w:t>
      </w:r>
      <w:bookmarkEnd w:id="74"/>
    </w:p>
    <w:p w14:paraId="7BDB8EC4" w14:textId="77777777" w:rsidR="00EF27EC" w:rsidRPr="00C000B2" w:rsidRDefault="006B345B" w:rsidP="006B345B">
      <w:r>
        <w:rPr>
          <w:noProof/>
          <w:lang w:eastAsia="en-NZ"/>
        </w:rPr>
        <w:drawing>
          <wp:inline distT="0" distB="0" distL="0" distR="0" wp14:anchorId="7D5CE215" wp14:editId="6F5A4898">
            <wp:extent cx="3427155" cy="2973788"/>
            <wp:effectExtent l="0" t="0" r="1905" b="0"/>
            <wp:docPr id="1976" name="Picture 1976" title="Figure 8: Cancers related to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31863" cy="2977873"/>
                    </a:xfrm>
                    <a:prstGeom prst="rect">
                      <a:avLst/>
                    </a:prstGeom>
                  </pic:spPr>
                </pic:pic>
              </a:graphicData>
            </a:graphic>
          </wp:inline>
        </w:drawing>
      </w:r>
    </w:p>
    <w:p w14:paraId="3100E36D" w14:textId="77777777" w:rsidR="00EF27EC" w:rsidRPr="00C000B2" w:rsidRDefault="00EF27EC" w:rsidP="006B345B"/>
    <w:p w14:paraId="0A218792" w14:textId="77777777" w:rsidR="00EF27EC" w:rsidRPr="006B345B" w:rsidRDefault="006B345B" w:rsidP="006B345B">
      <w:pPr>
        <w:pStyle w:val="Figure"/>
      </w:pPr>
      <w:bookmarkStart w:id="75" w:name="How_big_is_the_problem_of_alcohol_use_in"/>
      <w:bookmarkStart w:id="76" w:name="Figure_9:_Estimated_proportion_of_new_ca"/>
      <w:bookmarkStart w:id="77" w:name="_bookmark15"/>
      <w:bookmarkStart w:id="78" w:name="_Ref94789518"/>
      <w:bookmarkStart w:id="79" w:name="_Toc95059130"/>
      <w:bookmarkEnd w:id="75"/>
      <w:bookmarkEnd w:id="76"/>
      <w:bookmarkEnd w:id="77"/>
      <w:r>
        <w:lastRenderedPageBreak/>
        <w:t>Figure </w:t>
      </w:r>
      <w:r w:rsidR="00F50B6E">
        <w:fldChar w:fldCharType="begin"/>
      </w:r>
      <w:r w:rsidR="00F50B6E">
        <w:instrText xml:space="preserve"> SEQ Figure \* ARABIC </w:instrText>
      </w:r>
      <w:r w:rsidR="00F50B6E">
        <w:fldChar w:fldCharType="separate"/>
      </w:r>
      <w:r w:rsidR="006E6019">
        <w:rPr>
          <w:noProof/>
        </w:rPr>
        <w:t>9</w:t>
      </w:r>
      <w:r w:rsidR="00F50B6E">
        <w:rPr>
          <w:noProof/>
        </w:rPr>
        <w:fldChar w:fldCharType="end"/>
      </w:r>
      <w:bookmarkEnd w:id="78"/>
      <w:r w:rsidR="00EF27EC" w:rsidRPr="00C000B2">
        <w:t>: Estimated proportion of new cases in 2020 attributable to alcohol drinking, Aotearoa, both sexes</w:t>
      </w:r>
      <w:r w:rsidR="00EF27EC" w:rsidRPr="006B345B">
        <w:rPr>
          <w:b w:val="0"/>
          <w:vertAlign w:val="superscript"/>
        </w:rPr>
        <w:t>118</w:t>
      </w:r>
      <w:bookmarkEnd w:id="79"/>
    </w:p>
    <w:p w14:paraId="435A9DA4" w14:textId="77777777" w:rsidR="00EF27EC" w:rsidRPr="00C000B2" w:rsidRDefault="006B345B" w:rsidP="00EF27EC">
      <w:pPr>
        <w:spacing w:line="249" w:lineRule="auto"/>
        <w:rPr>
          <w:rFonts w:ascii="Calibri"/>
        </w:rPr>
      </w:pPr>
      <w:r>
        <w:rPr>
          <w:noProof/>
          <w:lang w:eastAsia="en-NZ"/>
        </w:rPr>
        <w:drawing>
          <wp:inline distT="0" distB="0" distL="0" distR="0" wp14:anchorId="759FF0EB" wp14:editId="13EA5166">
            <wp:extent cx="3037399" cy="2760376"/>
            <wp:effectExtent l="0" t="0" r="0" b="1905"/>
            <wp:docPr id="1977" name="Picture 1977" title="Figure 9: Estimated proportion of new cases in 2020 attributable to alcohol drinking, Aotearoa, both sexes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88"/>
                    <a:stretch/>
                  </pic:blipFill>
                  <pic:spPr bwMode="auto">
                    <a:xfrm>
                      <a:off x="0" y="0"/>
                      <a:ext cx="3037613" cy="2760570"/>
                    </a:xfrm>
                    <a:prstGeom prst="rect">
                      <a:avLst/>
                    </a:prstGeom>
                    <a:ln>
                      <a:noFill/>
                    </a:ln>
                    <a:extLst>
                      <a:ext uri="{53640926-AAD7-44D8-BBD7-CCE9431645EC}">
                        <a14:shadowObscured xmlns:a14="http://schemas.microsoft.com/office/drawing/2010/main"/>
                      </a:ext>
                    </a:extLst>
                  </pic:spPr>
                </pic:pic>
              </a:graphicData>
            </a:graphic>
          </wp:inline>
        </w:drawing>
      </w:r>
    </w:p>
    <w:p w14:paraId="065E7FDD" w14:textId="77777777" w:rsidR="00EF27EC" w:rsidRDefault="00EF27EC" w:rsidP="006B345B"/>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3"/>
        <w:gridCol w:w="2977"/>
      </w:tblGrid>
      <w:tr w:rsidR="006B345B" w14:paraId="00499D51" w14:textId="77777777" w:rsidTr="006B345B">
        <w:trPr>
          <w:cantSplit/>
        </w:trPr>
        <w:tc>
          <w:tcPr>
            <w:tcW w:w="5103" w:type="dxa"/>
            <w:shd w:val="clear" w:color="auto" w:fill="auto"/>
          </w:tcPr>
          <w:p w14:paraId="725BE83F" w14:textId="77777777" w:rsidR="006B345B" w:rsidRPr="00C000B2" w:rsidRDefault="006B345B" w:rsidP="006B345B">
            <w:r w:rsidRPr="00C000B2">
              <w:t xml:space="preserve">All types of alcohol – beer, </w:t>
            </w:r>
            <w:proofErr w:type="gramStart"/>
            <w:r w:rsidRPr="00C000B2">
              <w:t>wine</w:t>
            </w:r>
            <w:proofErr w:type="gramEnd"/>
            <w:r w:rsidRPr="00C000B2">
              <w:t xml:space="preserve"> and spirits – increase the risk</w:t>
            </w:r>
            <w:r>
              <w:t xml:space="preserve"> </w:t>
            </w:r>
            <w:r w:rsidRPr="00C000B2">
              <w:t>of developing cancer. The risk increases with the average amount of alcohol consumed each day and adds up over a lifetime. As any amount of alcohol consumption increases the risk of cancer, there is no safe minimum level of alcohol use.</w:t>
            </w:r>
            <w:r w:rsidRPr="006B345B">
              <w:rPr>
                <w:vertAlign w:val="superscript"/>
              </w:rPr>
              <w:t>120</w:t>
            </w:r>
            <w:r w:rsidRPr="00C000B2">
              <w:t xml:space="preserve"> For example, consuming even one standard drink of alcohol each day increases the risk of developing breast cancer by around 7–10 percent.</w:t>
            </w:r>
            <w:r w:rsidRPr="006B345B">
              <w:rPr>
                <w:vertAlign w:val="superscript"/>
              </w:rPr>
              <w:t>117,</w:t>
            </w:r>
            <w:r>
              <w:rPr>
                <w:vertAlign w:val="superscript"/>
              </w:rPr>
              <w:t> </w:t>
            </w:r>
            <w:r w:rsidRPr="006B345B">
              <w:rPr>
                <w:vertAlign w:val="superscript"/>
              </w:rPr>
              <w:t>121</w:t>
            </w:r>
            <w:r w:rsidRPr="00C000B2">
              <w:t xml:space="preserve"> Because more people are light or moderate drinkers rather than heavy drinkers, a</w:t>
            </w:r>
            <w:r>
              <w:t xml:space="preserve"> </w:t>
            </w:r>
            <w:r w:rsidRPr="00C000B2">
              <w:t>large part of the alcohol-related cancer burden occurs among light or moderate drinkers.</w:t>
            </w:r>
            <w:r w:rsidRPr="006B345B">
              <w:rPr>
                <w:vertAlign w:val="superscript"/>
              </w:rPr>
              <w:t>120</w:t>
            </w:r>
          </w:p>
        </w:tc>
        <w:tc>
          <w:tcPr>
            <w:tcW w:w="2977" w:type="dxa"/>
          </w:tcPr>
          <w:p w14:paraId="4AE9A41C" w14:textId="3EEA8280" w:rsidR="006B345B" w:rsidRDefault="006B345B" w:rsidP="00351028">
            <w:pPr>
              <w:jc w:val="right"/>
            </w:pPr>
          </w:p>
        </w:tc>
      </w:tr>
    </w:tbl>
    <w:p w14:paraId="2324E96B" w14:textId="77777777" w:rsidR="006B345B" w:rsidRDefault="006B345B"/>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6B345B" w14:paraId="593AC408" w14:textId="77777777" w:rsidTr="006B345B">
        <w:trPr>
          <w:cantSplit/>
        </w:trPr>
        <w:tc>
          <w:tcPr>
            <w:tcW w:w="426" w:type="dxa"/>
            <w:tcBorders>
              <w:right w:val="single" w:sz="48" w:space="0" w:color="FFFFFF" w:themeColor="background1"/>
            </w:tcBorders>
            <w:shd w:val="clear" w:color="auto" w:fill="F37973"/>
          </w:tcPr>
          <w:p w14:paraId="5A1B822A" w14:textId="77777777" w:rsidR="006B345B" w:rsidRDefault="006B345B" w:rsidP="00351028"/>
        </w:tc>
        <w:tc>
          <w:tcPr>
            <w:tcW w:w="7371" w:type="dxa"/>
          </w:tcPr>
          <w:p w14:paraId="6C5D7ABE" w14:textId="77777777" w:rsidR="006B345B" w:rsidRDefault="006B345B" w:rsidP="006B345B">
            <w:r w:rsidRPr="00C000B2">
              <w:t>Māori experience a higher burden of alcohol-related cancers. In 2012, Māori lost an average of</w:t>
            </w:r>
            <w:r>
              <w:t xml:space="preserve"> </w:t>
            </w:r>
            <w:r w:rsidRPr="00C000B2">
              <w:t>12.7</w:t>
            </w:r>
            <w:r>
              <w:t> </w:t>
            </w:r>
            <w:r w:rsidRPr="00C000B2">
              <w:t>years of life from alcohol-attributable cancers compared with 10.1</w:t>
            </w:r>
            <w:r>
              <w:t> </w:t>
            </w:r>
            <w:r w:rsidRPr="00C000B2">
              <w:t>years for non-Māori.</w:t>
            </w:r>
            <w:r w:rsidRPr="006B345B">
              <w:rPr>
                <w:rStyle w:val="FootnoteReference"/>
              </w:rPr>
              <w:t>122</w:t>
            </w:r>
          </w:p>
        </w:tc>
      </w:tr>
    </w:tbl>
    <w:p w14:paraId="3E7F4E3C" w14:textId="77777777" w:rsidR="006B345B" w:rsidRDefault="006B345B" w:rsidP="0008214D"/>
    <w:p w14:paraId="34E919C8" w14:textId="77777777" w:rsidR="00EF27EC" w:rsidRPr="00C000B2" w:rsidRDefault="00EF27EC" w:rsidP="0008214D">
      <w:pPr>
        <w:pStyle w:val="Heading2"/>
      </w:pPr>
      <w:bookmarkStart w:id="80" w:name="_Toc95742654"/>
      <w:r w:rsidRPr="00C000B2">
        <w:t>How big is the problem of alcohol use in Aotearoa?</w:t>
      </w:r>
      <w:bookmarkEnd w:id="80"/>
    </w:p>
    <w:p w14:paraId="6D8EDA28" w14:textId="77777777" w:rsidR="00EF27EC" w:rsidRPr="00C000B2" w:rsidRDefault="00EF27EC" w:rsidP="0008214D">
      <w:r w:rsidRPr="00C000B2">
        <w:t>Most adults (82 percent) in Aotearoa drink alcohol (</w:t>
      </w:r>
      <w:r w:rsidR="0008214D">
        <w:fldChar w:fldCharType="begin"/>
      </w:r>
      <w:r w:rsidR="0008214D">
        <w:instrText xml:space="preserve"> REF _Ref94790189 \h </w:instrText>
      </w:r>
      <w:r w:rsidR="0008214D">
        <w:fldChar w:fldCharType="separate"/>
      </w:r>
      <w:r w:rsidR="006E6019">
        <w:t>Figure </w:t>
      </w:r>
      <w:r w:rsidR="006E6019">
        <w:rPr>
          <w:noProof/>
        </w:rPr>
        <w:t>10</w:t>
      </w:r>
      <w:r w:rsidR="0008214D">
        <w:fldChar w:fldCharType="end"/>
      </w:r>
      <w:r w:rsidRPr="00C000B2">
        <w:t>).</w:t>
      </w:r>
      <w:r w:rsidRPr="0008214D">
        <w:rPr>
          <w:vertAlign w:val="superscript"/>
        </w:rPr>
        <w:t>49</w:t>
      </w:r>
      <w:r w:rsidRPr="00C000B2">
        <w:t xml:space="preserve"> Almost two in five adults (37</w:t>
      </w:r>
      <w:r w:rsidR="0008214D">
        <w:t> </w:t>
      </w:r>
      <w:r w:rsidRPr="00C000B2">
        <w:t>percent) in Aotearoa drink above the low-risk drinking recommendations (</w:t>
      </w:r>
      <w:r w:rsidR="0008214D">
        <w:fldChar w:fldCharType="begin"/>
      </w:r>
      <w:r w:rsidR="0008214D">
        <w:instrText xml:space="preserve"> REF _Ref94790200 \h </w:instrText>
      </w:r>
      <w:r w:rsidR="0008214D">
        <w:fldChar w:fldCharType="separate"/>
      </w:r>
      <w:r w:rsidR="006E6019">
        <w:t>Figure </w:t>
      </w:r>
      <w:r w:rsidR="006E6019">
        <w:rPr>
          <w:noProof/>
        </w:rPr>
        <w:t>11</w:t>
      </w:r>
      <w:r w:rsidR="0008214D">
        <w:fldChar w:fldCharType="end"/>
      </w:r>
      <w:r w:rsidRPr="00C000B2">
        <w:t>).</w:t>
      </w:r>
      <w:r w:rsidRPr="0008214D">
        <w:rPr>
          <w:vertAlign w:val="superscript"/>
        </w:rPr>
        <w:t>123</w:t>
      </w:r>
      <w:r w:rsidRPr="00C000B2">
        <w:t xml:space="preserve"> New Zealanders drink more alcohol each year (10.7 litres per person aged 15</w:t>
      </w:r>
      <w:r w:rsidR="0008214D">
        <w:t> </w:t>
      </w:r>
      <w:r w:rsidRPr="00C000B2">
        <w:t>years and older) than both the global average (5.8 litres per person) and the average for high-income countries (10 litres per person).</w:t>
      </w:r>
      <w:r w:rsidRPr="0008214D">
        <w:rPr>
          <w:vertAlign w:val="superscript"/>
        </w:rPr>
        <w:t>124</w:t>
      </w:r>
      <w:r w:rsidRPr="00C000B2">
        <w:t xml:space="preserve"> In 2019, enough alcohol was available for consumption for every adult in Aotearoa to consume two standard drinks per day,</w:t>
      </w:r>
      <w:r w:rsidRPr="0008214D">
        <w:rPr>
          <w:vertAlign w:val="superscript"/>
        </w:rPr>
        <w:t>125</w:t>
      </w:r>
      <w:r w:rsidRPr="00C000B2">
        <w:t xml:space="preserve"> which is equivalent to almost two bottles of wine per person each week.</w:t>
      </w:r>
      <w:r w:rsidRPr="0008214D">
        <w:rPr>
          <w:vertAlign w:val="superscript"/>
        </w:rPr>
        <w:t>126</w:t>
      </w:r>
    </w:p>
    <w:p w14:paraId="1C541BD5" w14:textId="77777777" w:rsidR="00EF27EC" w:rsidRPr="00C000B2" w:rsidRDefault="00EF27EC" w:rsidP="0008214D"/>
    <w:p w14:paraId="61BC720D" w14:textId="77777777" w:rsidR="00EF27EC" w:rsidRPr="00C000B2" w:rsidRDefault="00EF27EC" w:rsidP="0008214D">
      <w:r w:rsidRPr="00C000B2">
        <w:lastRenderedPageBreak/>
        <w:t>The volume of alcohol available for consumption has not changed significantly since 2005</w:t>
      </w:r>
      <w:r w:rsidR="0008214D">
        <w:t xml:space="preserve"> </w:t>
      </w:r>
      <w:r w:rsidRPr="00C000B2">
        <w:t>(</w:t>
      </w:r>
      <w:r w:rsidR="00351028">
        <w:fldChar w:fldCharType="begin"/>
      </w:r>
      <w:r w:rsidR="00351028">
        <w:instrText xml:space="preserve"> REF _Ref94790720 \h </w:instrText>
      </w:r>
      <w:r w:rsidR="00351028">
        <w:fldChar w:fldCharType="separate"/>
      </w:r>
      <w:r w:rsidR="006E6019">
        <w:t>Figure </w:t>
      </w:r>
      <w:r w:rsidR="006E6019">
        <w:rPr>
          <w:noProof/>
        </w:rPr>
        <w:t>12</w:t>
      </w:r>
      <w:r w:rsidR="00351028">
        <w:fldChar w:fldCharType="end"/>
      </w:r>
      <w:r w:rsidRPr="00C000B2">
        <w:t>).</w:t>
      </w:r>
      <w:r w:rsidRPr="0008214D">
        <w:rPr>
          <w:vertAlign w:val="superscript"/>
        </w:rPr>
        <w:t>127</w:t>
      </w:r>
      <w:r w:rsidRPr="00C000B2">
        <w:t xml:space="preserve"> Furthermore, surveys show that no change has occurred in the prevalence of past-year drinkers since 2006 or in the prevalence of hazardous and heavy episodic drinking since 2015 (when data began to be collected) (</w:t>
      </w:r>
      <w:r w:rsidR="00351028">
        <w:fldChar w:fldCharType="begin"/>
      </w:r>
      <w:r w:rsidR="00351028">
        <w:instrText xml:space="preserve"> REF _Ref94790732 \h </w:instrText>
      </w:r>
      <w:r w:rsidR="00351028">
        <w:fldChar w:fldCharType="separate"/>
      </w:r>
      <w:r w:rsidR="006E6019">
        <w:t>Figure </w:t>
      </w:r>
      <w:r w:rsidR="006E6019">
        <w:rPr>
          <w:noProof/>
        </w:rPr>
        <w:t>13</w:t>
      </w:r>
      <w:r w:rsidR="00351028">
        <w:fldChar w:fldCharType="end"/>
      </w:r>
      <w:r w:rsidRPr="00C000B2">
        <w:t>).</w:t>
      </w:r>
      <w:r w:rsidRPr="0008214D">
        <w:rPr>
          <w:vertAlign w:val="superscript"/>
        </w:rPr>
        <w:t>49</w:t>
      </w:r>
    </w:p>
    <w:p w14:paraId="157034FE" w14:textId="77777777" w:rsidR="00EF27EC" w:rsidRPr="00C000B2" w:rsidRDefault="00EF27EC" w:rsidP="0008214D"/>
    <w:p w14:paraId="0CADA6B4" w14:textId="77777777" w:rsidR="00EF27EC" w:rsidRDefault="0008214D" w:rsidP="0008214D">
      <w:pPr>
        <w:pStyle w:val="Figure"/>
        <w:rPr>
          <w:b w:val="0"/>
          <w:vertAlign w:val="superscript"/>
        </w:rPr>
      </w:pPr>
      <w:bookmarkStart w:id="81" w:name="Figure_10:_Patterns_of_alcohol_use_in_Ao"/>
      <w:bookmarkStart w:id="82" w:name="Figure_11:_Low-risk_drinking_advice128"/>
      <w:bookmarkStart w:id="83" w:name="_bookmark16"/>
      <w:bookmarkStart w:id="84" w:name="_Ref94790189"/>
      <w:bookmarkStart w:id="85" w:name="_Toc95059131"/>
      <w:bookmarkEnd w:id="81"/>
      <w:bookmarkEnd w:id="82"/>
      <w:bookmarkEnd w:id="83"/>
      <w:r>
        <w:t>Figure </w:t>
      </w:r>
      <w:r w:rsidR="00F50B6E">
        <w:fldChar w:fldCharType="begin"/>
      </w:r>
      <w:r w:rsidR="00F50B6E">
        <w:instrText xml:space="preserve"> SEQ Figure \* ARABIC </w:instrText>
      </w:r>
      <w:r w:rsidR="00F50B6E">
        <w:fldChar w:fldCharType="separate"/>
      </w:r>
      <w:r w:rsidR="006E6019">
        <w:rPr>
          <w:noProof/>
        </w:rPr>
        <w:t>10</w:t>
      </w:r>
      <w:r w:rsidR="00F50B6E">
        <w:rPr>
          <w:noProof/>
        </w:rPr>
        <w:fldChar w:fldCharType="end"/>
      </w:r>
      <w:bookmarkEnd w:id="84"/>
      <w:r w:rsidR="00EF27EC" w:rsidRPr="00C000B2">
        <w:t>: Patterns of alcohol use in Aotearoa, 2019/20</w:t>
      </w:r>
      <w:r w:rsidR="00EF27EC" w:rsidRPr="0008214D">
        <w:rPr>
          <w:b w:val="0"/>
          <w:vertAlign w:val="superscript"/>
        </w:rPr>
        <w:t>49,</w:t>
      </w:r>
      <w:r>
        <w:rPr>
          <w:b w:val="0"/>
          <w:vertAlign w:val="superscript"/>
        </w:rPr>
        <w:t> </w:t>
      </w:r>
      <w:r w:rsidR="00EF27EC" w:rsidRPr="0008214D">
        <w:rPr>
          <w:b w:val="0"/>
          <w:vertAlign w:val="superscript"/>
        </w:rPr>
        <w:t>123</w:t>
      </w:r>
      <w:bookmarkEnd w:id="85"/>
    </w:p>
    <w:p w14:paraId="7CE1043B" w14:textId="77777777" w:rsidR="0008214D" w:rsidRPr="0008214D" w:rsidRDefault="0008214D" w:rsidP="0008214D">
      <w:r>
        <w:rPr>
          <w:noProof/>
          <w:lang w:eastAsia="en-NZ"/>
        </w:rPr>
        <w:drawing>
          <wp:inline distT="0" distB="0" distL="0" distR="0" wp14:anchorId="3ADEC758" wp14:editId="0F924DB1">
            <wp:extent cx="4643561" cy="2210797"/>
            <wp:effectExtent l="0" t="0" r="5080" b="0"/>
            <wp:docPr id="1981" name="Picture 1981" title="Figure 10: Patterns of alcohol use in Aotearoa, 2019/204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47943" cy="2212883"/>
                    </a:xfrm>
                    <a:prstGeom prst="rect">
                      <a:avLst/>
                    </a:prstGeom>
                  </pic:spPr>
                </pic:pic>
              </a:graphicData>
            </a:graphic>
          </wp:inline>
        </w:drawing>
      </w:r>
    </w:p>
    <w:p w14:paraId="5F6C3827" w14:textId="77777777" w:rsidR="00EF27EC" w:rsidRPr="00C000B2" w:rsidRDefault="00EF27EC" w:rsidP="0008214D"/>
    <w:p w14:paraId="55B31F96" w14:textId="77777777" w:rsidR="00EF27EC" w:rsidRPr="0008214D" w:rsidRDefault="0008214D" w:rsidP="0008214D">
      <w:pPr>
        <w:pStyle w:val="Figure"/>
      </w:pPr>
      <w:bookmarkStart w:id="86" w:name="_Ref94790200"/>
      <w:bookmarkStart w:id="87" w:name="_Toc95059132"/>
      <w:r>
        <w:t>Figure </w:t>
      </w:r>
      <w:r w:rsidR="00F50B6E">
        <w:fldChar w:fldCharType="begin"/>
      </w:r>
      <w:r w:rsidR="00F50B6E">
        <w:instrText xml:space="preserve"> SEQ Figure \* ARABIC </w:instrText>
      </w:r>
      <w:r w:rsidR="00F50B6E">
        <w:fldChar w:fldCharType="separate"/>
      </w:r>
      <w:r w:rsidR="006E6019">
        <w:rPr>
          <w:noProof/>
        </w:rPr>
        <w:t>11</w:t>
      </w:r>
      <w:r w:rsidR="00F50B6E">
        <w:rPr>
          <w:noProof/>
        </w:rPr>
        <w:fldChar w:fldCharType="end"/>
      </w:r>
      <w:bookmarkEnd w:id="86"/>
      <w:r>
        <w:t>: L</w:t>
      </w:r>
      <w:r w:rsidR="00EF27EC" w:rsidRPr="00C000B2">
        <w:t xml:space="preserve">ow-risk drinking </w:t>
      </w:r>
      <w:r w:rsidR="00EF27EC" w:rsidRPr="0008214D">
        <w:t>advice</w:t>
      </w:r>
      <w:r w:rsidR="00EF27EC" w:rsidRPr="0008214D">
        <w:rPr>
          <w:b w:val="0"/>
          <w:vertAlign w:val="superscript"/>
        </w:rPr>
        <w:t>128</w:t>
      </w:r>
      <w:bookmarkEnd w:id="87"/>
    </w:p>
    <w:p w14:paraId="53CF9B27" w14:textId="77777777" w:rsidR="0008214D" w:rsidRDefault="0008214D" w:rsidP="0008214D">
      <w:r>
        <w:rPr>
          <w:noProof/>
          <w:lang w:eastAsia="en-NZ"/>
        </w:rPr>
        <w:drawing>
          <wp:inline distT="0" distB="0" distL="0" distR="0" wp14:anchorId="7ABB4727" wp14:editId="7DA5AAC9">
            <wp:extent cx="5080883" cy="2733760"/>
            <wp:effectExtent l="0" t="0" r="5715" b="0"/>
            <wp:docPr id="1982" name="Picture 1982" title="Figure 11: Low-risk drinking adv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931" t="1716"/>
                    <a:stretch/>
                  </pic:blipFill>
                  <pic:spPr bwMode="auto">
                    <a:xfrm>
                      <a:off x="0" y="0"/>
                      <a:ext cx="5082442" cy="2734599"/>
                    </a:xfrm>
                    <a:prstGeom prst="rect">
                      <a:avLst/>
                    </a:prstGeom>
                    <a:ln>
                      <a:noFill/>
                    </a:ln>
                    <a:extLst>
                      <a:ext uri="{53640926-AAD7-44D8-BBD7-CCE9431645EC}">
                        <a14:shadowObscured xmlns:a14="http://schemas.microsoft.com/office/drawing/2010/main"/>
                      </a:ext>
                    </a:extLst>
                  </pic:spPr>
                </pic:pic>
              </a:graphicData>
            </a:graphic>
          </wp:inline>
        </w:drawing>
      </w:r>
    </w:p>
    <w:p w14:paraId="5E8002F4" w14:textId="77777777" w:rsidR="0008214D" w:rsidRDefault="0008214D" w:rsidP="0008214D"/>
    <w:p w14:paraId="6FFE3809" w14:textId="77777777" w:rsidR="00EF27EC" w:rsidRPr="003D2655" w:rsidRDefault="0008214D" w:rsidP="0008214D">
      <w:pPr>
        <w:pStyle w:val="Figure"/>
        <w:rPr>
          <w:b w:val="0"/>
        </w:rPr>
      </w:pPr>
      <w:bookmarkStart w:id="88" w:name="Figure_12:_Volume_of_alcoholic_beverages"/>
      <w:bookmarkStart w:id="89" w:name="Figure_13:_Alcohol_use_prevalence_trends"/>
      <w:bookmarkStart w:id="90" w:name="_bookmark17"/>
      <w:bookmarkStart w:id="91" w:name="_Ref94790720"/>
      <w:bookmarkStart w:id="92" w:name="_Toc95059133"/>
      <w:bookmarkEnd w:id="88"/>
      <w:bookmarkEnd w:id="89"/>
      <w:bookmarkEnd w:id="90"/>
      <w:r>
        <w:lastRenderedPageBreak/>
        <w:t>Figure </w:t>
      </w:r>
      <w:r w:rsidR="00F50B6E">
        <w:fldChar w:fldCharType="begin"/>
      </w:r>
      <w:r w:rsidR="00F50B6E">
        <w:instrText xml:space="preserve"> SEQ Figure \* ARABIC </w:instrText>
      </w:r>
      <w:r w:rsidR="00F50B6E">
        <w:fldChar w:fldCharType="separate"/>
      </w:r>
      <w:r w:rsidR="006E6019">
        <w:rPr>
          <w:noProof/>
        </w:rPr>
        <w:t>12</w:t>
      </w:r>
      <w:r w:rsidR="00F50B6E">
        <w:rPr>
          <w:noProof/>
        </w:rPr>
        <w:fldChar w:fldCharType="end"/>
      </w:r>
      <w:bookmarkEnd w:id="91"/>
      <w:r w:rsidR="00EF27EC" w:rsidRPr="00C000B2">
        <w:t>: Volume of alcoholic beverages available for consumption in Aotearoa, by type, 2005–2020</w:t>
      </w:r>
      <w:r w:rsidR="00EF27EC" w:rsidRPr="0008214D">
        <w:rPr>
          <w:b w:val="0"/>
          <w:vertAlign w:val="superscript"/>
        </w:rPr>
        <w:t>125</w:t>
      </w:r>
      <w:bookmarkEnd w:id="92"/>
    </w:p>
    <w:p w14:paraId="06B8929B" w14:textId="77777777" w:rsidR="0008214D" w:rsidRPr="0008214D" w:rsidRDefault="00351028" w:rsidP="0008214D">
      <w:r>
        <w:rPr>
          <w:noProof/>
          <w:lang w:eastAsia="en-NZ"/>
        </w:rPr>
        <w:drawing>
          <wp:inline distT="0" distB="0" distL="0" distR="0" wp14:anchorId="5795D887" wp14:editId="2AA0A875">
            <wp:extent cx="4675367" cy="2950231"/>
            <wp:effectExtent l="0" t="0" r="0" b="2540"/>
            <wp:docPr id="1983" name="Picture 1983" title="Figure 12: Volume of alcoholic beverages available for consumption in Aotearoa, by type, 200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76862" cy="2951175"/>
                    </a:xfrm>
                    <a:prstGeom prst="rect">
                      <a:avLst/>
                    </a:prstGeom>
                  </pic:spPr>
                </pic:pic>
              </a:graphicData>
            </a:graphic>
          </wp:inline>
        </w:drawing>
      </w:r>
    </w:p>
    <w:p w14:paraId="71DCF5FC" w14:textId="77777777" w:rsidR="00EF27EC" w:rsidRPr="00C000B2" w:rsidRDefault="00EF27EC" w:rsidP="00351028"/>
    <w:p w14:paraId="44D5AECC" w14:textId="77777777" w:rsidR="00EF27EC" w:rsidRPr="00351028" w:rsidRDefault="00351028" w:rsidP="00351028">
      <w:pPr>
        <w:pStyle w:val="Figure"/>
      </w:pPr>
      <w:bookmarkStart w:id="93" w:name="_Ref94790732"/>
      <w:bookmarkStart w:id="94" w:name="_Toc95059134"/>
      <w:r>
        <w:t>Figure </w:t>
      </w:r>
      <w:r w:rsidR="00F50B6E">
        <w:fldChar w:fldCharType="begin"/>
      </w:r>
      <w:r w:rsidR="00F50B6E">
        <w:instrText xml:space="preserve"> SEQ Figure \* ARABIC </w:instrText>
      </w:r>
      <w:r w:rsidR="00F50B6E">
        <w:fldChar w:fldCharType="separate"/>
      </w:r>
      <w:r w:rsidR="006E6019">
        <w:rPr>
          <w:noProof/>
        </w:rPr>
        <w:t>13</w:t>
      </w:r>
      <w:r w:rsidR="00F50B6E">
        <w:rPr>
          <w:noProof/>
        </w:rPr>
        <w:fldChar w:fldCharType="end"/>
      </w:r>
      <w:bookmarkEnd w:id="93"/>
      <w:r w:rsidR="00EF27EC" w:rsidRPr="00C000B2">
        <w:t>: Alcohol use prevalence trends, 2006/07–2019/20</w:t>
      </w:r>
      <w:r w:rsidR="00EF27EC" w:rsidRPr="00351028">
        <w:rPr>
          <w:b w:val="0"/>
          <w:vertAlign w:val="superscript"/>
        </w:rPr>
        <w:t>49</w:t>
      </w:r>
      <w:bookmarkEnd w:id="94"/>
    </w:p>
    <w:p w14:paraId="549F9177" w14:textId="77777777" w:rsidR="00351028" w:rsidRDefault="00351028" w:rsidP="00351028">
      <w:r>
        <w:rPr>
          <w:noProof/>
          <w:lang w:eastAsia="en-NZ"/>
        </w:rPr>
        <w:drawing>
          <wp:inline distT="0" distB="0" distL="0" distR="0" wp14:anchorId="706B5C2E" wp14:editId="61BC3C15">
            <wp:extent cx="4333461" cy="3192611"/>
            <wp:effectExtent l="0" t="0" r="0" b="8255"/>
            <wp:docPr id="1984" name="Picture 1984" title="Figure 13: Alcohol use prevalence trends, 2006/07–2019/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33307" cy="3192497"/>
                    </a:xfrm>
                    <a:prstGeom prst="rect">
                      <a:avLst/>
                    </a:prstGeom>
                  </pic:spPr>
                </pic:pic>
              </a:graphicData>
            </a:graphic>
          </wp:inline>
        </w:drawing>
      </w:r>
    </w:p>
    <w:p w14:paraId="089C5568" w14:textId="77777777" w:rsidR="00351028" w:rsidRPr="00351028" w:rsidRDefault="00351028" w:rsidP="00351028"/>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351028" w14:paraId="3E7735E8" w14:textId="77777777" w:rsidTr="00351028">
        <w:trPr>
          <w:cantSplit/>
        </w:trPr>
        <w:tc>
          <w:tcPr>
            <w:tcW w:w="426" w:type="dxa"/>
            <w:tcBorders>
              <w:right w:val="single" w:sz="48" w:space="0" w:color="FFFFFF" w:themeColor="background1"/>
            </w:tcBorders>
            <w:shd w:val="clear" w:color="auto" w:fill="F37973"/>
          </w:tcPr>
          <w:p w14:paraId="70851BB8" w14:textId="77777777" w:rsidR="00351028" w:rsidRDefault="00351028" w:rsidP="002B5FDB">
            <w:pPr>
              <w:keepNext/>
            </w:pPr>
          </w:p>
        </w:tc>
        <w:tc>
          <w:tcPr>
            <w:tcW w:w="7371" w:type="dxa"/>
          </w:tcPr>
          <w:p w14:paraId="3D8550BD" w14:textId="77777777" w:rsidR="00351028" w:rsidRDefault="002B5FDB" w:rsidP="002B5FDB">
            <w:pPr>
              <w:keepNext/>
            </w:pPr>
            <w:r w:rsidRPr="00C000B2">
              <w:t xml:space="preserve">The amount of alcohol consumed varies by gender, ethnicity, </w:t>
            </w:r>
            <w:proofErr w:type="gramStart"/>
            <w:r w:rsidRPr="00C000B2">
              <w:t>age</w:t>
            </w:r>
            <w:proofErr w:type="gramEnd"/>
            <w:r w:rsidRPr="00C000B2">
              <w:t xml:space="preserve"> and deprivation. Drinking alcohol in the past week was more common among New</w:t>
            </w:r>
            <w:r>
              <w:t> </w:t>
            </w:r>
            <w:r w:rsidRPr="00C000B2">
              <w:t>Zealand Europeans/other, men aged 45–64 years and those living in the least deprived areas.</w:t>
            </w:r>
            <w:r w:rsidRPr="002B5FDB">
              <w:rPr>
                <w:vertAlign w:val="superscript"/>
              </w:rPr>
              <w:t>129</w:t>
            </w:r>
            <w:r w:rsidRPr="00C000B2">
              <w:t xml:space="preserve"> Pacific peoples, Asian </w:t>
            </w:r>
            <w:proofErr w:type="gramStart"/>
            <w:r w:rsidRPr="00C000B2">
              <w:t>men</w:t>
            </w:r>
            <w:proofErr w:type="gramEnd"/>
            <w:r w:rsidRPr="00C000B2">
              <w:t xml:space="preserve"> and those from high</w:t>
            </w:r>
            <w:r>
              <w:noBreakHyphen/>
            </w:r>
            <w:r w:rsidRPr="00C000B2">
              <w:t>deprivation areas are less likely to have consumed alcohol in the past year. However, Māori and Pacific peoples, those aged 18–24 years and those from the most deprived areas are more likely to drink more than the daily low-risk drinking recommendations</w:t>
            </w:r>
            <w:r w:rsidRPr="002B5FDB">
              <w:rPr>
                <w:vertAlign w:val="superscript"/>
              </w:rPr>
              <w:t>129</w:t>
            </w:r>
            <w:r w:rsidRPr="00C000B2">
              <w:t xml:space="preserve"> and consume alcohol hazardously (</w:t>
            </w:r>
            <w:r>
              <w:fldChar w:fldCharType="begin"/>
            </w:r>
            <w:r>
              <w:instrText xml:space="preserve"> REF _Ref94791597 \h </w:instrText>
            </w:r>
            <w:r>
              <w:fldChar w:fldCharType="separate"/>
            </w:r>
            <w:r w:rsidR="006E6019">
              <w:t>Figure </w:t>
            </w:r>
            <w:r w:rsidR="006E6019">
              <w:rPr>
                <w:noProof/>
              </w:rPr>
              <w:t>14</w:t>
            </w:r>
            <w:r>
              <w:fldChar w:fldCharType="end"/>
            </w:r>
            <w:r w:rsidRPr="00C000B2">
              <w:t xml:space="preserve"> and </w:t>
            </w:r>
            <w:r>
              <w:fldChar w:fldCharType="begin"/>
            </w:r>
            <w:r>
              <w:instrText xml:space="preserve"> REF _Ref94791818 \h </w:instrText>
            </w:r>
            <w:r>
              <w:fldChar w:fldCharType="separate"/>
            </w:r>
            <w:r w:rsidR="006E6019">
              <w:t>Figure </w:t>
            </w:r>
            <w:r w:rsidR="006E6019">
              <w:rPr>
                <w:noProof/>
              </w:rPr>
              <w:t>15</w:t>
            </w:r>
            <w:r>
              <w:fldChar w:fldCharType="end"/>
            </w:r>
            <w:r w:rsidRPr="00C000B2">
              <w:t>).</w:t>
            </w:r>
            <w:r w:rsidRPr="002B5FDB">
              <w:rPr>
                <w:vertAlign w:val="superscript"/>
              </w:rPr>
              <w:t>49</w:t>
            </w:r>
            <w:r w:rsidRPr="00C000B2">
              <w:t xml:space="preserve"> Although the legal age for purchasing alcohol is 18 years, over half of those aged 15–17 years drank alcohol in the past year.</w:t>
            </w:r>
            <w:r w:rsidRPr="002B5FDB">
              <w:rPr>
                <w:vertAlign w:val="superscript"/>
              </w:rPr>
              <w:t>49</w:t>
            </w:r>
          </w:p>
        </w:tc>
      </w:tr>
    </w:tbl>
    <w:p w14:paraId="7E5BD78D" w14:textId="77777777" w:rsidR="00EF27EC" w:rsidRPr="00C000B2" w:rsidRDefault="00EF27EC" w:rsidP="002B5FDB"/>
    <w:p w14:paraId="246926FF" w14:textId="77777777" w:rsidR="00EF27EC" w:rsidRPr="003D2655" w:rsidRDefault="002B5FDB" w:rsidP="002B5FDB">
      <w:pPr>
        <w:pStyle w:val="Figure"/>
        <w:rPr>
          <w:b w:val="0"/>
        </w:rPr>
      </w:pPr>
      <w:bookmarkStart w:id="95" w:name="Figure_14:_Percentage_of_adults_(aged_15"/>
      <w:bookmarkStart w:id="96" w:name="Figure_15:_Percentage_of_adults_(aged_15"/>
      <w:bookmarkStart w:id="97" w:name="_bookmark18"/>
      <w:bookmarkStart w:id="98" w:name="_Ref94791597"/>
      <w:bookmarkStart w:id="99" w:name="_Toc95059135"/>
      <w:bookmarkEnd w:id="95"/>
      <w:bookmarkEnd w:id="96"/>
      <w:bookmarkEnd w:id="97"/>
      <w:r>
        <w:t>Figure </w:t>
      </w:r>
      <w:r w:rsidR="00F50B6E">
        <w:fldChar w:fldCharType="begin"/>
      </w:r>
      <w:r w:rsidR="00F50B6E">
        <w:instrText xml:space="preserve"> SEQ Figure \* ARABIC </w:instrText>
      </w:r>
      <w:r w:rsidR="00F50B6E">
        <w:fldChar w:fldCharType="separate"/>
      </w:r>
      <w:r w:rsidR="006E6019">
        <w:rPr>
          <w:noProof/>
        </w:rPr>
        <w:t>14</w:t>
      </w:r>
      <w:r w:rsidR="00F50B6E">
        <w:rPr>
          <w:noProof/>
        </w:rPr>
        <w:fldChar w:fldCharType="end"/>
      </w:r>
      <w:bookmarkEnd w:id="98"/>
      <w:r w:rsidR="00EF27EC" w:rsidRPr="00C000B2">
        <w:t>: Percentage of adults (aged 15 years and older) using alcohol by ethnicity, 2019/20</w:t>
      </w:r>
      <w:r w:rsidR="00EF27EC" w:rsidRPr="002B5FDB">
        <w:rPr>
          <w:b w:val="0"/>
          <w:vertAlign w:val="superscript"/>
        </w:rPr>
        <w:t>49</w:t>
      </w:r>
      <w:bookmarkEnd w:id="99"/>
    </w:p>
    <w:p w14:paraId="7109D854" w14:textId="77777777" w:rsidR="002B5FDB" w:rsidRDefault="002B5FDB" w:rsidP="002B5FDB">
      <w:r>
        <w:rPr>
          <w:noProof/>
          <w:lang w:eastAsia="en-NZ"/>
        </w:rPr>
        <w:drawing>
          <wp:inline distT="0" distB="0" distL="0" distR="0" wp14:anchorId="0D59D6B6" wp14:editId="4A8EB8DE">
            <wp:extent cx="3951798" cy="2787142"/>
            <wp:effectExtent l="0" t="0" r="0" b="0"/>
            <wp:docPr id="1985" name="Picture 1985" title="Figure 14: Percentage of adults (aged 15 years and older) using alcohol by ethnicity,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54776" cy="2789242"/>
                    </a:xfrm>
                    <a:prstGeom prst="rect">
                      <a:avLst/>
                    </a:prstGeom>
                  </pic:spPr>
                </pic:pic>
              </a:graphicData>
            </a:graphic>
          </wp:inline>
        </w:drawing>
      </w:r>
    </w:p>
    <w:p w14:paraId="21BD0A99" w14:textId="77777777" w:rsidR="002B5FDB" w:rsidRDefault="002B5FDB" w:rsidP="002B5FDB"/>
    <w:p w14:paraId="6C4C61A0" w14:textId="77777777" w:rsidR="00EF27EC" w:rsidRPr="002B5FDB" w:rsidRDefault="002B5FDB" w:rsidP="002B5FDB">
      <w:pPr>
        <w:pStyle w:val="Figure"/>
      </w:pPr>
      <w:bookmarkStart w:id="100" w:name="_Ref94791818"/>
      <w:bookmarkStart w:id="101" w:name="_Toc95059136"/>
      <w:r>
        <w:t>Figure </w:t>
      </w:r>
      <w:r w:rsidR="00F50B6E">
        <w:fldChar w:fldCharType="begin"/>
      </w:r>
      <w:r w:rsidR="00F50B6E">
        <w:instrText xml:space="preserve"> SEQ Figure \* ARABIC </w:instrText>
      </w:r>
      <w:r w:rsidR="00F50B6E">
        <w:fldChar w:fldCharType="separate"/>
      </w:r>
      <w:r w:rsidR="006E6019">
        <w:rPr>
          <w:noProof/>
        </w:rPr>
        <w:t>15</w:t>
      </w:r>
      <w:r w:rsidR="00F50B6E">
        <w:rPr>
          <w:noProof/>
        </w:rPr>
        <w:fldChar w:fldCharType="end"/>
      </w:r>
      <w:bookmarkEnd w:id="100"/>
      <w:r w:rsidR="00EF27EC" w:rsidRPr="00C000B2">
        <w:t>: Percentage of adults (aged 15 years and older) using alcohol by neighbourhood deprivation, 2019/20</w:t>
      </w:r>
      <w:r w:rsidR="00EF27EC" w:rsidRPr="002B5FDB">
        <w:rPr>
          <w:b w:val="0"/>
          <w:vertAlign w:val="superscript"/>
        </w:rPr>
        <w:t>49</w:t>
      </w:r>
      <w:bookmarkEnd w:id="101"/>
    </w:p>
    <w:p w14:paraId="494A335B" w14:textId="77777777" w:rsidR="002B5FDB" w:rsidRDefault="002B5FDB" w:rsidP="002B5FDB">
      <w:r>
        <w:rPr>
          <w:noProof/>
          <w:lang w:eastAsia="en-NZ"/>
        </w:rPr>
        <w:drawing>
          <wp:inline distT="0" distB="0" distL="0" distR="0" wp14:anchorId="6056F1B1" wp14:editId="0282F35D">
            <wp:extent cx="3951798" cy="2862209"/>
            <wp:effectExtent l="0" t="0" r="0" b="0"/>
            <wp:docPr id="1986" name="Picture 1986" title="Figure 15: Percentage of adults (aged 15 years and older) using alcohol by neighbourhood deprivatio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54938" cy="2864483"/>
                    </a:xfrm>
                    <a:prstGeom prst="rect">
                      <a:avLst/>
                    </a:prstGeom>
                  </pic:spPr>
                </pic:pic>
              </a:graphicData>
            </a:graphic>
          </wp:inline>
        </w:drawing>
      </w:r>
    </w:p>
    <w:p w14:paraId="3EA10A31" w14:textId="77777777" w:rsidR="002B5FDB" w:rsidRPr="002B5FDB" w:rsidRDefault="002B5FDB" w:rsidP="002B5FDB"/>
    <w:p w14:paraId="4310D55D" w14:textId="77777777" w:rsidR="00EF27EC" w:rsidRPr="00C000B2" w:rsidRDefault="00EF27EC" w:rsidP="002B5FDB">
      <w:pPr>
        <w:pStyle w:val="Heading2"/>
      </w:pPr>
      <w:bookmarkStart w:id="102" w:name="How_can_we_prevent_cancers_related_to_al"/>
      <w:bookmarkStart w:id="103" w:name="_bookmark19"/>
      <w:bookmarkStart w:id="104" w:name="_Toc95742655"/>
      <w:bookmarkEnd w:id="102"/>
      <w:bookmarkEnd w:id="103"/>
      <w:r w:rsidRPr="00C000B2">
        <w:lastRenderedPageBreak/>
        <w:t>How can we prevent cancers related to alcohol use?</w:t>
      </w:r>
      <w:bookmarkEnd w:id="104"/>
    </w:p>
    <w:p w14:paraId="77D62946" w14:textId="77777777" w:rsidR="00EF27EC" w:rsidRPr="00C000B2" w:rsidRDefault="00EF27EC" w:rsidP="002B5FDB">
      <w:r w:rsidRPr="00C000B2">
        <w:t>The interventions summarised below (and expanded on under the focus areas that follow) are those considered most likely to substantially reduce alcohol consumption and ultimately prevent alcohol-related cancers. They are in line with evidence-based recommendations for Aotearoa from the 2010 Law Commission review of the alcohol laws in Aotearoa,</w:t>
      </w:r>
      <w:r w:rsidRPr="002B5FDB">
        <w:rPr>
          <w:vertAlign w:val="superscript"/>
        </w:rPr>
        <w:t>130</w:t>
      </w:r>
      <w:r w:rsidRPr="00C000B2">
        <w:t xml:space="preserve"> the 2014 Ministerial Forum</w:t>
      </w:r>
      <w:r w:rsidR="002B5FDB">
        <w:t xml:space="preserve"> </w:t>
      </w:r>
      <w:r w:rsidRPr="00C000B2">
        <w:t>on Alcohol Advertising and Sponsorship,</w:t>
      </w:r>
      <w:r w:rsidRPr="002B5FDB">
        <w:rPr>
          <w:vertAlign w:val="superscript"/>
        </w:rPr>
        <w:t>131</w:t>
      </w:r>
      <w:r w:rsidRPr="00C000B2">
        <w:t xml:space="preserve"> the 2018 Mental Health and Addiction Inquiry,</w:t>
      </w:r>
      <w:r w:rsidRPr="002B5FDB">
        <w:rPr>
          <w:vertAlign w:val="superscript"/>
        </w:rPr>
        <w:t>132</w:t>
      </w:r>
      <w:r w:rsidRPr="00C000B2">
        <w:t xml:space="preserve"> and Alcohol Healthwatch.</w:t>
      </w:r>
      <w:r w:rsidRPr="002B5FDB">
        <w:rPr>
          <w:vertAlign w:val="superscript"/>
        </w:rPr>
        <w:t>133</w:t>
      </w:r>
      <w:r w:rsidRPr="00C000B2">
        <w:t xml:space="preserve"> They are also consistent with recommendations from the World Health Organization SAFER initiative to reduce alcohol-related harm,</w:t>
      </w:r>
      <w:r w:rsidRPr="002B5FDB">
        <w:rPr>
          <w:vertAlign w:val="superscript"/>
        </w:rPr>
        <w:t>134</w:t>
      </w:r>
      <w:r w:rsidRPr="00C000B2">
        <w:t xml:space="preserve"> as well as those of other national and international organisations. These recommendations broadly align with the district health board joint position statement on the Sale and Supply of Alcohol Act released in August 2021.</w:t>
      </w:r>
      <w:r w:rsidRPr="002B5FDB">
        <w:rPr>
          <w:vertAlign w:val="superscript"/>
        </w:rPr>
        <w:t>135</w:t>
      </w:r>
    </w:p>
    <w:p w14:paraId="6DFA501F" w14:textId="77777777" w:rsidR="00EF27EC" w:rsidRDefault="00EF27EC" w:rsidP="00063D12">
      <w:pPr>
        <w:spacing w:after="240"/>
      </w:pP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F0"/>
        <w:tblLayout w:type="fixed"/>
        <w:tblCellMar>
          <w:left w:w="57" w:type="dxa"/>
          <w:right w:w="57" w:type="dxa"/>
        </w:tblCellMar>
        <w:tblLook w:val="04A0" w:firstRow="1" w:lastRow="0" w:firstColumn="1" w:lastColumn="0" w:noHBand="0" w:noVBand="1"/>
      </w:tblPr>
      <w:tblGrid>
        <w:gridCol w:w="8295"/>
      </w:tblGrid>
      <w:tr w:rsidR="002B5FDB" w:rsidRPr="004805C8" w14:paraId="652B6D26" w14:textId="77777777" w:rsidTr="003D2655">
        <w:trPr>
          <w:cantSplit/>
        </w:trPr>
        <w:tc>
          <w:tcPr>
            <w:tcW w:w="8295" w:type="dxa"/>
            <w:tcBorders>
              <w:bottom w:val="single" w:sz="12" w:space="0" w:color="22B893"/>
            </w:tcBorders>
            <w:shd w:val="clear" w:color="auto" w:fill="EAF5F0"/>
          </w:tcPr>
          <w:p w14:paraId="36E0B278" w14:textId="77777777" w:rsidR="002B5FDB" w:rsidRPr="004805C8" w:rsidRDefault="002B5FDB" w:rsidP="002B5FDB">
            <w:pPr>
              <w:pStyle w:val="TableText"/>
              <w:keepNext/>
              <w:spacing w:before="120"/>
              <w:rPr>
                <w:b/>
                <w:sz w:val="20"/>
              </w:rPr>
            </w:pPr>
            <w:r w:rsidRPr="004805C8">
              <w:rPr>
                <w:b/>
                <w:sz w:val="20"/>
              </w:rPr>
              <w:t xml:space="preserve">Summary of options to prevent cancers related to </w:t>
            </w:r>
            <w:r>
              <w:rPr>
                <w:b/>
                <w:sz w:val="20"/>
              </w:rPr>
              <w:t>alcohol use</w:t>
            </w:r>
          </w:p>
        </w:tc>
      </w:tr>
      <w:tr w:rsidR="002B5FDB" w14:paraId="3DAF3956" w14:textId="77777777" w:rsidTr="003D2655">
        <w:trPr>
          <w:cantSplit/>
        </w:trPr>
        <w:tc>
          <w:tcPr>
            <w:tcW w:w="8295" w:type="dxa"/>
            <w:tcBorders>
              <w:top w:val="single" w:sz="12" w:space="0" w:color="22B893"/>
            </w:tcBorders>
            <w:shd w:val="clear" w:color="auto" w:fill="EAF5F0"/>
          </w:tcPr>
          <w:p w14:paraId="4E07368D" w14:textId="77777777" w:rsidR="002B5FDB" w:rsidRPr="00C000B2" w:rsidRDefault="002B5FDB" w:rsidP="002B5FDB">
            <w:pPr>
              <w:pStyle w:val="TableBullet"/>
            </w:pPr>
            <w:r w:rsidRPr="00C000B2">
              <w:t>Reduce the affordability of alcohol.</w:t>
            </w:r>
          </w:p>
          <w:p w14:paraId="05C4A0B5" w14:textId="77777777" w:rsidR="002B5FDB" w:rsidRPr="00C000B2" w:rsidRDefault="002B5FDB" w:rsidP="002B5FDB">
            <w:pPr>
              <w:pStyle w:val="TableDash"/>
            </w:pPr>
            <w:r w:rsidRPr="00C000B2">
              <w:t>Increase alcohol excise tax.</w:t>
            </w:r>
          </w:p>
          <w:p w14:paraId="6355FF4B" w14:textId="77777777" w:rsidR="002B5FDB" w:rsidRPr="00C000B2" w:rsidRDefault="002B5FDB" w:rsidP="002B5FDB">
            <w:pPr>
              <w:pStyle w:val="TableDash"/>
            </w:pPr>
            <w:r w:rsidRPr="00C000B2">
              <w:t>Introduce a minimum unit price (a mandatory lowest retail price per standard drink of alcohol).</w:t>
            </w:r>
          </w:p>
          <w:p w14:paraId="752FBB48" w14:textId="77777777" w:rsidR="002B5FDB" w:rsidRPr="00C000B2" w:rsidRDefault="002B5FDB" w:rsidP="002B5FDB">
            <w:pPr>
              <w:pStyle w:val="TableBullet"/>
            </w:pPr>
            <w:r w:rsidRPr="00C000B2">
              <w:t>Reduce the availability and accessibility of alcohol.</w:t>
            </w:r>
          </w:p>
          <w:p w14:paraId="4330AD98" w14:textId="77777777" w:rsidR="002B5FDB" w:rsidRPr="00C000B2" w:rsidRDefault="002B5FDB" w:rsidP="002B5FDB">
            <w:pPr>
              <w:pStyle w:val="TableDash"/>
            </w:pPr>
            <w:r w:rsidRPr="00C000B2">
              <w:t>Decrease the number and density of licensed premises.</w:t>
            </w:r>
          </w:p>
          <w:p w14:paraId="3D80848C" w14:textId="77777777" w:rsidR="002B5FDB" w:rsidRPr="00C000B2" w:rsidRDefault="002B5FDB" w:rsidP="002B5FDB">
            <w:pPr>
              <w:pStyle w:val="TableDash"/>
            </w:pPr>
            <w:r w:rsidRPr="00C000B2">
              <w:t>Decrease trading hours – particularly for off-licence outlets.</w:t>
            </w:r>
          </w:p>
          <w:p w14:paraId="0669D105" w14:textId="77777777" w:rsidR="002B5FDB" w:rsidRPr="00C000B2" w:rsidRDefault="002B5FDB" w:rsidP="002B5FDB">
            <w:pPr>
              <w:pStyle w:val="TableDash"/>
            </w:pPr>
            <w:r w:rsidRPr="00C000B2">
              <w:t>Increase the legal purchase age for alcohol from 18 years to 20 years.</w:t>
            </w:r>
          </w:p>
          <w:p w14:paraId="24845E59" w14:textId="77777777" w:rsidR="002B5FDB" w:rsidRPr="00C000B2" w:rsidRDefault="002B5FDB" w:rsidP="002B5FDB">
            <w:pPr>
              <w:pStyle w:val="TableBullet"/>
            </w:pPr>
            <w:r w:rsidRPr="00C000B2">
              <w:t xml:space="preserve">Reduce alcohol advertising, </w:t>
            </w:r>
            <w:proofErr w:type="gramStart"/>
            <w:r w:rsidRPr="00C000B2">
              <w:t>marketing</w:t>
            </w:r>
            <w:proofErr w:type="gramEnd"/>
            <w:r w:rsidRPr="00C000B2">
              <w:t xml:space="preserve"> and sponsorship.</w:t>
            </w:r>
          </w:p>
          <w:p w14:paraId="05243249" w14:textId="77777777" w:rsidR="002B5FDB" w:rsidRPr="00C000B2" w:rsidRDefault="002B5FDB" w:rsidP="002B5FDB">
            <w:pPr>
              <w:pStyle w:val="TableDash"/>
            </w:pPr>
            <w:r w:rsidRPr="00C000B2">
              <w:t>Enact and enforce comprehensive restrictions on volume and content of alcohol advertising and sponsorship across all environments.</w:t>
            </w:r>
          </w:p>
          <w:p w14:paraId="58A9C59A" w14:textId="77777777" w:rsidR="002B5FDB" w:rsidRPr="00C000B2" w:rsidRDefault="002B5FDB" w:rsidP="002B5FDB">
            <w:pPr>
              <w:pStyle w:val="TableBullet"/>
            </w:pPr>
            <w:r w:rsidRPr="00C000B2">
              <w:t>Support health services to reduce harm from alcohol.</w:t>
            </w:r>
          </w:p>
          <w:p w14:paraId="040E8FCC" w14:textId="77777777" w:rsidR="002B5FDB" w:rsidRDefault="002B5FDB" w:rsidP="002B5FDB">
            <w:pPr>
              <w:pStyle w:val="TableDash"/>
            </w:pPr>
            <w:r w:rsidRPr="00C000B2">
              <w:t>Strengthen screening and brief interventions to reduce alcohol consumption.</w:t>
            </w:r>
          </w:p>
        </w:tc>
      </w:tr>
    </w:tbl>
    <w:p w14:paraId="063762E0" w14:textId="77777777" w:rsidR="00990345" w:rsidRDefault="00990345" w:rsidP="00063D12">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4CA6F070" w14:textId="77777777" w:rsidTr="00351028">
        <w:trPr>
          <w:cantSplit/>
        </w:trPr>
        <w:tc>
          <w:tcPr>
            <w:tcW w:w="426" w:type="dxa"/>
            <w:tcBorders>
              <w:right w:val="single" w:sz="48" w:space="0" w:color="FFFFFF" w:themeColor="background1"/>
            </w:tcBorders>
            <w:shd w:val="clear" w:color="auto" w:fill="22B893"/>
          </w:tcPr>
          <w:p w14:paraId="15D8DB8F" w14:textId="77777777" w:rsidR="00990345" w:rsidRDefault="00990345" w:rsidP="00351028"/>
        </w:tc>
        <w:tc>
          <w:tcPr>
            <w:tcW w:w="7371" w:type="dxa"/>
            <w:gridSpan w:val="2"/>
          </w:tcPr>
          <w:p w14:paraId="3B6BA88F" w14:textId="77777777" w:rsidR="00990345" w:rsidRPr="00063D12" w:rsidRDefault="00990345" w:rsidP="00351028">
            <w:pPr>
              <w:pStyle w:val="TableText"/>
              <w:rPr>
                <w:sz w:val="22"/>
                <w:szCs w:val="22"/>
              </w:rPr>
            </w:pPr>
            <w:r w:rsidRPr="0029210A">
              <w:rPr>
                <w:b/>
                <w:sz w:val="22"/>
                <w:szCs w:val="22"/>
              </w:rPr>
              <w:t xml:space="preserve">Focus area: </w:t>
            </w:r>
            <w:r w:rsidR="00063D12" w:rsidRPr="00063D12">
              <w:rPr>
                <w:sz w:val="22"/>
                <w:szCs w:val="22"/>
              </w:rPr>
              <w:t>Reduce the affordability of alcohol</w:t>
            </w:r>
          </w:p>
          <w:p w14:paraId="2C2E44DA" w14:textId="77777777" w:rsidR="00F21D27" w:rsidRPr="00F21D27" w:rsidRDefault="00F21D27" w:rsidP="00F21D27">
            <w:pPr>
              <w:pStyle w:val="TableText"/>
              <w:rPr>
                <w:sz w:val="20"/>
              </w:rPr>
            </w:pPr>
            <w:r w:rsidRPr="00F21D27">
              <w:rPr>
                <w:sz w:val="20"/>
              </w:rPr>
              <w:t>What do we know about the impact of having affordable alcohol?</w:t>
            </w:r>
          </w:p>
          <w:p w14:paraId="06141CF1" w14:textId="77777777" w:rsidR="00990345" w:rsidRDefault="00F21D27" w:rsidP="00F21D27">
            <w:pPr>
              <w:pStyle w:val="TableText"/>
            </w:pPr>
            <w:r w:rsidRPr="00C000B2">
              <w:t>People in Aotearoa purchase most of their alcohol from ‘off-licence’ premises such as bottle stores and supermarkets where prices are generally much lower than in ‘on</w:t>
            </w:r>
            <w:r>
              <w:noBreakHyphen/>
            </w:r>
            <w:r w:rsidRPr="00C000B2">
              <w:t>licence’ premises such as pubs and bars.</w:t>
            </w:r>
            <w:r w:rsidRPr="00F21D27">
              <w:rPr>
                <w:vertAlign w:val="superscript"/>
              </w:rPr>
              <w:t>136</w:t>
            </w:r>
            <w:r w:rsidRPr="00C000B2">
              <w:t xml:space="preserve"> Lower prices are linked to increases in the total amount of alcohol consumed, underage drinking and heavy drinking patterns including binge drinking.</w:t>
            </w:r>
            <w:r w:rsidRPr="00F21D27">
              <w:rPr>
                <w:vertAlign w:val="superscript"/>
              </w:rPr>
              <w:t>130,</w:t>
            </w:r>
            <w:r>
              <w:rPr>
                <w:vertAlign w:val="superscript"/>
              </w:rPr>
              <w:t> </w:t>
            </w:r>
            <w:r w:rsidRPr="00F21D27">
              <w:rPr>
                <w:vertAlign w:val="superscript"/>
              </w:rPr>
              <w:t>137,</w:t>
            </w:r>
            <w:r>
              <w:rPr>
                <w:vertAlign w:val="superscript"/>
              </w:rPr>
              <w:t> </w:t>
            </w:r>
            <w:r w:rsidRPr="00F21D27">
              <w:rPr>
                <w:vertAlign w:val="superscript"/>
              </w:rPr>
              <w:t>138</w:t>
            </w:r>
            <w:r w:rsidRPr="00C000B2">
              <w:t xml:space="preserve"> Young people and heavy drinkers are more likely to purchase the lowest-priced alcohol.</w:t>
            </w:r>
            <w:r w:rsidRPr="00F21D27">
              <w:rPr>
                <w:vertAlign w:val="superscript"/>
              </w:rPr>
              <w:t>138,</w:t>
            </w:r>
            <w:r>
              <w:rPr>
                <w:vertAlign w:val="superscript"/>
              </w:rPr>
              <w:t> </w:t>
            </w:r>
            <w:r w:rsidRPr="00F21D27">
              <w:rPr>
                <w:vertAlign w:val="superscript"/>
              </w:rPr>
              <w:t>139</w:t>
            </w:r>
          </w:p>
        </w:tc>
      </w:tr>
      <w:tr w:rsidR="00990345" w14:paraId="57495C6C" w14:textId="77777777" w:rsidTr="00351028">
        <w:trPr>
          <w:cantSplit/>
        </w:trPr>
        <w:tc>
          <w:tcPr>
            <w:tcW w:w="426" w:type="dxa"/>
            <w:tcBorders>
              <w:right w:val="single" w:sz="48" w:space="0" w:color="FFFFFF" w:themeColor="background1"/>
            </w:tcBorders>
            <w:shd w:val="clear" w:color="auto" w:fill="22B893"/>
          </w:tcPr>
          <w:p w14:paraId="3B62DCF1" w14:textId="77777777" w:rsidR="00990345" w:rsidRDefault="00990345" w:rsidP="00351028"/>
        </w:tc>
        <w:tc>
          <w:tcPr>
            <w:tcW w:w="304" w:type="dxa"/>
            <w:shd w:val="clear" w:color="auto" w:fill="F37973"/>
          </w:tcPr>
          <w:p w14:paraId="5AC2E4BD" w14:textId="77777777" w:rsidR="00990345" w:rsidRPr="0029210A" w:rsidRDefault="00990345" w:rsidP="00351028">
            <w:pPr>
              <w:pStyle w:val="TableText"/>
            </w:pPr>
          </w:p>
        </w:tc>
        <w:tc>
          <w:tcPr>
            <w:tcW w:w="7067" w:type="dxa"/>
          </w:tcPr>
          <w:p w14:paraId="01CE02AD" w14:textId="77777777" w:rsidR="00990345" w:rsidRPr="0029210A" w:rsidRDefault="00F21D27" w:rsidP="00F21D27">
            <w:pPr>
              <w:pStyle w:val="TableText"/>
              <w:ind w:left="142"/>
            </w:pPr>
            <w:r w:rsidRPr="00C000B2">
              <w:t>Māori and Pacific peoples have higher exposure to cheap alcohol (in that they are more likely to be living in areas with more alcohol outlets,</w:t>
            </w:r>
            <w:r w:rsidRPr="00F21D27">
              <w:rPr>
                <w:vertAlign w:val="superscript"/>
              </w:rPr>
              <w:t>140</w:t>
            </w:r>
            <w:r w:rsidRPr="00C000B2">
              <w:t xml:space="preserve"> which leads to price competition and lower alcohol prices) and are more likely to purchase very cheap alcohol.</w:t>
            </w:r>
            <w:r w:rsidRPr="00F21D27">
              <w:rPr>
                <w:vertAlign w:val="superscript"/>
              </w:rPr>
              <w:t>133,</w:t>
            </w:r>
            <w:r>
              <w:rPr>
                <w:vertAlign w:val="superscript"/>
              </w:rPr>
              <w:t> </w:t>
            </w:r>
            <w:r w:rsidRPr="00F21D27">
              <w:rPr>
                <w:vertAlign w:val="superscript"/>
              </w:rPr>
              <w:t>141</w:t>
            </w:r>
          </w:p>
        </w:tc>
      </w:tr>
    </w:tbl>
    <w:p w14:paraId="346B7035" w14:textId="77777777" w:rsidR="00990345" w:rsidRPr="00C000B2" w:rsidRDefault="00990345" w:rsidP="00F21D27">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3402"/>
      </w:tblGrid>
      <w:tr w:rsidR="0029210A" w:rsidRPr="00AB3864" w14:paraId="0F611533" w14:textId="77777777" w:rsidTr="00AB11A2">
        <w:trPr>
          <w:cantSplit/>
        </w:trPr>
        <w:tc>
          <w:tcPr>
            <w:tcW w:w="8080" w:type="dxa"/>
            <w:gridSpan w:val="2"/>
            <w:tcBorders>
              <w:bottom w:val="nil"/>
            </w:tcBorders>
            <w:shd w:val="clear" w:color="auto" w:fill="D7EDE4"/>
          </w:tcPr>
          <w:p w14:paraId="18BC6AFC" w14:textId="77777777" w:rsidR="0029210A" w:rsidRPr="00AB3864" w:rsidRDefault="0029210A" w:rsidP="00F21D27">
            <w:pPr>
              <w:pStyle w:val="TableText"/>
              <w:keepNext/>
              <w:rPr>
                <w:b/>
                <w:sz w:val="22"/>
                <w:szCs w:val="22"/>
              </w:rPr>
            </w:pPr>
            <w:r w:rsidRPr="00AB3864">
              <w:rPr>
                <w:b/>
                <w:sz w:val="22"/>
                <w:szCs w:val="22"/>
              </w:rPr>
              <w:lastRenderedPageBreak/>
              <w:t xml:space="preserve">Action: </w:t>
            </w:r>
            <w:r w:rsidR="00F21D27" w:rsidRPr="00F21D27">
              <w:rPr>
                <w:sz w:val="22"/>
                <w:szCs w:val="22"/>
              </w:rPr>
              <w:t>Increase alcohol excise tax</w:t>
            </w:r>
          </w:p>
        </w:tc>
      </w:tr>
      <w:tr w:rsidR="0029210A" w14:paraId="74112ACF" w14:textId="77777777" w:rsidTr="00AB11A2">
        <w:trPr>
          <w:cantSplit/>
        </w:trPr>
        <w:tc>
          <w:tcPr>
            <w:tcW w:w="4678" w:type="dxa"/>
            <w:tcBorders>
              <w:top w:val="nil"/>
              <w:bottom w:val="single" w:sz="8" w:space="0" w:color="22B893"/>
              <w:right w:val="dashed" w:sz="4" w:space="0" w:color="22B893"/>
            </w:tcBorders>
          </w:tcPr>
          <w:p w14:paraId="1A76FC3A" w14:textId="77777777" w:rsidR="0029210A" w:rsidRPr="00AB3864" w:rsidRDefault="0029210A" w:rsidP="00AB11A2">
            <w:pPr>
              <w:pStyle w:val="TableText"/>
              <w:ind w:right="142"/>
              <w:rPr>
                <w:sz w:val="20"/>
              </w:rPr>
            </w:pPr>
            <w:r w:rsidRPr="00AB3864">
              <w:rPr>
                <w:sz w:val="20"/>
              </w:rPr>
              <w:t>What is the evidence?</w:t>
            </w:r>
          </w:p>
          <w:p w14:paraId="61B70779" w14:textId="77777777" w:rsidR="00F21D27" w:rsidRPr="00C000B2" w:rsidRDefault="00F21D27" w:rsidP="00F21D27">
            <w:pPr>
              <w:pStyle w:val="TableText"/>
              <w:ind w:right="113"/>
            </w:pPr>
            <w:r w:rsidRPr="00C000B2">
              <w:t>Research consistently shows that increasing the price of alcohol reduces alcohol consumption.</w:t>
            </w:r>
            <w:r w:rsidRPr="00F21D27">
              <w:rPr>
                <w:vertAlign w:val="superscript"/>
              </w:rPr>
              <w:t>142–145</w:t>
            </w:r>
            <w:r w:rsidRPr="00C000B2">
              <w:t xml:space="preserve"> Increasing the price of alcohol is one of the three ‘best buy’ interventions that the World Health Organization recommends </w:t>
            </w:r>
            <w:proofErr w:type="gramStart"/>
            <w:r w:rsidRPr="00C000B2">
              <w:t>to reduce</w:t>
            </w:r>
            <w:proofErr w:type="gramEnd"/>
            <w:r w:rsidRPr="00C000B2">
              <w:t xml:space="preserve"> harmful drinking and prevent the growing burden of non-communicable diseases, including cancer.</w:t>
            </w:r>
            <w:r w:rsidRPr="00F21D27">
              <w:rPr>
                <w:vertAlign w:val="superscript"/>
              </w:rPr>
              <w:t>146</w:t>
            </w:r>
          </w:p>
          <w:p w14:paraId="45A694F5" w14:textId="77777777" w:rsidR="00F21D27" w:rsidRPr="00C000B2" w:rsidRDefault="00F21D27" w:rsidP="00F21D27">
            <w:pPr>
              <w:pStyle w:val="TableText"/>
              <w:ind w:right="113"/>
            </w:pPr>
            <w:r w:rsidRPr="00C000B2">
              <w:t>The New Zealand Law Commission review recommended that to reduce consumption and alcohol-related harm, an increase in excise tax of at least 50 percent would be required. This would increase alcohol prices by about</w:t>
            </w:r>
            <w:r>
              <w:t xml:space="preserve"> </w:t>
            </w:r>
            <w:r w:rsidRPr="00C000B2">
              <w:t>10 percent and reduce overall consumption by about 5 percent.</w:t>
            </w:r>
            <w:r w:rsidRPr="00F21D27">
              <w:rPr>
                <w:vertAlign w:val="superscript"/>
              </w:rPr>
              <w:t>130, 147</w:t>
            </w:r>
          </w:p>
          <w:p w14:paraId="22AD5957" w14:textId="77777777" w:rsidR="00F21D27" w:rsidRPr="00C000B2" w:rsidRDefault="00F21D27" w:rsidP="00F21D27">
            <w:pPr>
              <w:pStyle w:val="TableText"/>
              <w:ind w:right="113"/>
            </w:pPr>
            <w:r w:rsidRPr="00C000B2">
              <w:t>Many countries have alcohol excise taxes. In most Organisation for Economic Co-operation and Development (OECD) countries, excise tax accounts for a low percentage of alcohol prices and this has not changed over time.</w:t>
            </w:r>
          </w:p>
          <w:p w14:paraId="6F492C61" w14:textId="77777777" w:rsidR="00F21D27" w:rsidRPr="00C000B2" w:rsidRDefault="00F21D27" w:rsidP="00F21D27">
            <w:pPr>
              <w:pStyle w:val="TableText"/>
              <w:ind w:right="113"/>
            </w:pPr>
            <w:r w:rsidRPr="00C000B2">
              <w:t>Numerous OECD countries have applied excise taxes that equate to higher rates than in Aotearoa, including</w:t>
            </w:r>
            <w:r>
              <w:t xml:space="preserve"> </w:t>
            </w:r>
            <w:r w:rsidRPr="00C000B2">
              <w:t>Ireland, Sweden, Iceland, Norway, Finland, and the United Kingdom.</w:t>
            </w:r>
            <w:r w:rsidRPr="00F21D27">
              <w:rPr>
                <w:vertAlign w:val="superscript"/>
              </w:rPr>
              <w:t>148</w:t>
            </w:r>
          </w:p>
          <w:p w14:paraId="653873E8" w14:textId="77777777" w:rsidR="0029210A" w:rsidRDefault="00F21D27" w:rsidP="00F21D27">
            <w:pPr>
              <w:pStyle w:val="TableText"/>
              <w:ind w:right="113"/>
            </w:pPr>
            <w:r w:rsidRPr="00C000B2">
              <w:t>Sixty-one percent of New Zealanders support increasing the price of alcohol if the revenue was used to fund mental health and addiction services.</w:t>
            </w:r>
            <w:r w:rsidRPr="00F21D27">
              <w:rPr>
                <w:vertAlign w:val="superscript"/>
              </w:rPr>
              <w:t>149</w:t>
            </w:r>
          </w:p>
        </w:tc>
        <w:tc>
          <w:tcPr>
            <w:tcW w:w="3402" w:type="dxa"/>
            <w:tcBorders>
              <w:top w:val="nil"/>
              <w:left w:val="dashed" w:sz="4" w:space="0" w:color="22B893"/>
              <w:bottom w:val="single" w:sz="8" w:space="0" w:color="22B893"/>
            </w:tcBorders>
          </w:tcPr>
          <w:p w14:paraId="41C3700F" w14:textId="77777777" w:rsidR="0029210A" w:rsidRPr="00AB3864" w:rsidRDefault="0029210A" w:rsidP="00AB11A2">
            <w:pPr>
              <w:pStyle w:val="TableText"/>
              <w:ind w:left="113"/>
              <w:rPr>
                <w:sz w:val="20"/>
              </w:rPr>
            </w:pPr>
            <w:r w:rsidRPr="00AB3864">
              <w:rPr>
                <w:sz w:val="20"/>
              </w:rPr>
              <w:t>What is Aotearoa doing currently?</w:t>
            </w:r>
          </w:p>
          <w:p w14:paraId="01AED50E" w14:textId="77777777" w:rsidR="00F21D27" w:rsidRPr="00C000B2" w:rsidRDefault="00F21D27" w:rsidP="00F21D27">
            <w:pPr>
              <w:pStyle w:val="TableText"/>
              <w:ind w:left="113"/>
            </w:pPr>
            <w:r w:rsidRPr="00C000B2">
              <w:t>Excise tax is charged on all alcohol manufactured in or imported into Aotearoa that will be sold in the domestic market and it increases with inflation each year. Excise tax accounts for about 15 percent of the price of mainstream wine, about 22</w:t>
            </w:r>
            <w:r>
              <w:t> </w:t>
            </w:r>
            <w:r w:rsidRPr="00C000B2">
              <w:t>percent of the price of beer and 55</w:t>
            </w:r>
            <w:r>
              <w:t> </w:t>
            </w:r>
            <w:r w:rsidRPr="00C000B2">
              <w:t>percent of the price of spirits.</w:t>
            </w:r>
            <w:r w:rsidRPr="00F21D27">
              <w:rPr>
                <w:vertAlign w:val="superscript"/>
              </w:rPr>
              <w:t>133</w:t>
            </w:r>
          </w:p>
          <w:p w14:paraId="2B303941" w14:textId="77777777" w:rsidR="0029210A" w:rsidRDefault="00F21D27" w:rsidP="00F21D27">
            <w:pPr>
              <w:pStyle w:val="TableText"/>
              <w:ind w:left="113"/>
            </w:pPr>
            <w:r w:rsidRPr="00C000B2">
              <w:t>However, alcohol is now more affordable than it was 20 years ago due to rising incomes</w:t>
            </w:r>
            <w:r>
              <w:t xml:space="preserve"> </w:t>
            </w:r>
            <w:r w:rsidRPr="00C000B2">
              <w:t>and the impact of competition, which leads to lower prices at off-licence outlets.</w:t>
            </w:r>
            <w:r w:rsidRPr="00F21D27">
              <w:rPr>
                <w:vertAlign w:val="superscript"/>
              </w:rPr>
              <w:t>137</w:t>
            </w:r>
            <w:r w:rsidRPr="00C000B2">
              <w:t xml:space="preserve"> In addition, pricing under the current taxation system does not adequately reflect the alcohol content of each beverage. For</w:t>
            </w:r>
            <w:r>
              <w:t xml:space="preserve"> </w:t>
            </w:r>
            <w:r w:rsidRPr="00C000B2">
              <w:t>example, wine is the cheapest alcohol product sold in Aotearoa, partly because it is taxed as if it contains 10 percent alcohol rather than for its actual alcohol content, which ranges from</w:t>
            </w:r>
            <w:r>
              <w:t xml:space="preserve"> </w:t>
            </w:r>
            <w:r w:rsidRPr="00C000B2">
              <w:t>12.5 to 14.5</w:t>
            </w:r>
            <w:r>
              <w:t> </w:t>
            </w:r>
            <w:r w:rsidRPr="00C000B2">
              <w:t>percent.</w:t>
            </w:r>
            <w:r w:rsidRPr="00F21D27">
              <w:rPr>
                <w:vertAlign w:val="superscript"/>
              </w:rPr>
              <w:t>133</w:t>
            </w:r>
          </w:p>
        </w:tc>
      </w:tr>
    </w:tbl>
    <w:p w14:paraId="51A440E2" w14:textId="77777777" w:rsidR="00EF27EC" w:rsidRPr="00C000B2" w:rsidRDefault="00EF27EC" w:rsidP="00F21D27">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2B22F680" w14:textId="77777777" w:rsidTr="00351028">
        <w:trPr>
          <w:cantSplit/>
        </w:trPr>
        <w:tc>
          <w:tcPr>
            <w:tcW w:w="426" w:type="dxa"/>
            <w:tcBorders>
              <w:right w:val="single" w:sz="48" w:space="0" w:color="FFFFFF" w:themeColor="background1"/>
            </w:tcBorders>
            <w:shd w:val="clear" w:color="auto" w:fill="22B893"/>
          </w:tcPr>
          <w:p w14:paraId="2559F758" w14:textId="77777777" w:rsidR="00990345" w:rsidRDefault="00EF27EC" w:rsidP="00351028">
            <w:r w:rsidRPr="00C000B2">
              <w:rPr>
                <w:noProof/>
                <w:lang w:eastAsia="en-NZ"/>
              </w:rPr>
              <mc:AlternateContent>
                <mc:Choice Requires="wps">
                  <w:drawing>
                    <wp:anchor distT="0" distB="0" distL="114300" distR="114300" simplePos="0" relativeHeight="252061696" behindDoc="1" locked="0" layoutInCell="1" allowOverlap="1" wp14:anchorId="74BEE503" wp14:editId="0AF15594">
                      <wp:simplePos x="0" y="0"/>
                      <wp:positionH relativeFrom="page">
                        <wp:posOffset>4160520</wp:posOffset>
                      </wp:positionH>
                      <wp:positionV relativeFrom="page">
                        <wp:posOffset>3256280</wp:posOffset>
                      </wp:positionV>
                      <wp:extent cx="12700" cy="12700"/>
                      <wp:effectExtent l="7620" t="8255" r="8255" b="7620"/>
                      <wp:wrapNone/>
                      <wp:docPr id="937" name="Freeform 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552 6552"/>
                                  <a:gd name="T1" fmla="*/ T0 w 20"/>
                                  <a:gd name="T2" fmla="+- 0 5138 5128"/>
                                  <a:gd name="T3" fmla="*/ 5138 h 20"/>
                                  <a:gd name="T4" fmla="+- 0 6555 6552"/>
                                  <a:gd name="T5" fmla="*/ T4 w 20"/>
                                  <a:gd name="T6" fmla="+- 0 5131 5128"/>
                                  <a:gd name="T7" fmla="*/ 5131 h 20"/>
                                  <a:gd name="T8" fmla="+- 0 6562 6552"/>
                                  <a:gd name="T9" fmla="*/ T8 w 20"/>
                                  <a:gd name="T10" fmla="+- 0 5128 5128"/>
                                  <a:gd name="T11" fmla="*/ 5128 h 20"/>
                                  <a:gd name="T12" fmla="+- 0 6569 6552"/>
                                  <a:gd name="T13" fmla="*/ T12 w 20"/>
                                  <a:gd name="T14" fmla="+- 0 5131 5128"/>
                                  <a:gd name="T15" fmla="*/ 5131 h 20"/>
                                  <a:gd name="T16" fmla="+- 0 6572 6552"/>
                                  <a:gd name="T17" fmla="*/ T16 w 20"/>
                                  <a:gd name="T18" fmla="+- 0 5138 5128"/>
                                  <a:gd name="T19" fmla="*/ 5138 h 20"/>
                                  <a:gd name="T20" fmla="+- 0 6569 6552"/>
                                  <a:gd name="T21" fmla="*/ T20 w 20"/>
                                  <a:gd name="T22" fmla="+- 0 5145 5128"/>
                                  <a:gd name="T23" fmla="*/ 5145 h 20"/>
                                  <a:gd name="T24" fmla="+- 0 6562 6552"/>
                                  <a:gd name="T25" fmla="*/ T24 w 20"/>
                                  <a:gd name="T26" fmla="+- 0 5148 5128"/>
                                  <a:gd name="T27" fmla="*/ 5148 h 20"/>
                                  <a:gd name="T28" fmla="+- 0 6555 6552"/>
                                  <a:gd name="T29" fmla="*/ T28 w 20"/>
                                  <a:gd name="T30" fmla="+- 0 5145 5128"/>
                                  <a:gd name="T31" fmla="*/ 5145 h 20"/>
                                  <a:gd name="T32" fmla="+- 0 6552 6552"/>
                                  <a:gd name="T33" fmla="*/ T32 w 20"/>
                                  <a:gd name="T34" fmla="+- 0 5138 5128"/>
                                  <a:gd name="T35" fmla="*/ 51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3DA5" id="Freeform 937" o:spid="_x0000_s1026" alt="&quot;&quot;" style="position:absolute;margin-left:327.6pt;margin-top:256.4pt;width:1pt;height:1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" path="m,10l3,3,10,r7,3l20,10r-3,7l10,20,3,17,,10xe" fillcolor="#22b893" stroked="f">
                      <v:path arrowok="t" o:connecttype="custom" o:connectlocs="0,3262630;1905,3258185;6350,3256280;10795,3258185;12700,3262630;10795,3267075;6350,3268980;1905,3267075;0,3262630"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062720" behindDoc="1" locked="0" layoutInCell="1" allowOverlap="1" wp14:anchorId="626A1536" wp14:editId="676CBF9E">
                      <wp:simplePos x="0" y="0"/>
                      <wp:positionH relativeFrom="page">
                        <wp:posOffset>4160520</wp:posOffset>
                      </wp:positionH>
                      <wp:positionV relativeFrom="page">
                        <wp:posOffset>1301750</wp:posOffset>
                      </wp:positionV>
                      <wp:extent cx="12700" cy="12700"/>
                      <wp:effectExtent l="7620" t="6350" r="8255" b="0"/>
                      <wp:wrapNone/>
                      <wp:docPr id="936" name="Freeform 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552 6552"/>
                                  <a:gd name="T1" fmla="*/ T0 w 20"/>
                                  <a:gd name="T2" fmla="+- 0 2060 2050"/>
                                  <a:gd name="T3" fmla="*/ 2060 h 20"/>
                                  <a:gd name="T4" fmla="+- 0 6555 6552"/>
                                  <a:gd name="T5" fmla="*/ T4 w 20"/>
                                  <a:gd name="T6" fmla="+- 0 2053 2050"/>
                                  <a:gd name="T7" fmla="*/ 2053 h 20"/>
                                  <a:gd name="T8" fmla="+- 0 6562 6552"/>
                                  <a:gd name="T9" fmla="*/ T8 w 20"/>
                                  <a:gd name="T10" fmla="+- 0 2050 2050"/>
                                  <a:gd name="T11" fmla="*/ 2050 h 20"/>
                                  <a:gd name="T12" fmla="+- 0 6569 6552"/>
                                  <a:gd name="T13" fmla="*/ T12 w 20"/>
                                  <a:gd name="T14" fmla="+- 0 2053 2050"/>
                                  <a:gd name="T15" fmla="*/ 2053 h 20"/>
                                  <a:gd name="T16" fmla="+- 0 6572 6552"/>
                                  <a:gd name="T17" fmla="*/ T16 w 20"/>
                                  <a:gd name="T18" fmla="+- 0 2060 2050"/>
                                  <a:gd name="T19" fmla="*/ 2060 h 20"/>
                                  <a:gd name="T20" fmla="+- 0 6569 6552"/>
                                  <a:gd name="T21" fmla="*/ T20 w 20"/>
                                  <a:gd name="T22" fmla="+- 0 2067 2050"/>
                                  <a:gd name="T23" fmla="*/ 2067 h 20"/>
                                  <a:gd name="T24" fmla="+- 0 6562 6552"/>
                                  <a:gd name="T25" fmla="*/ T24 w 20"/>
                                  <a:gd name="T26" fmla="+- 0 2070 2050"/>
                                  <a:gd name="T27" fmla="*/ 2070 h 20"/>
                                  <a:gd name="T28" fmla="+- 0 6555 6552"/>
                                  <a:gd name="T29" fmla="*/ T28 w 20"/>
                                  <a:gd name="T30" fmla="+- 0 2067 2050"/>
                                  <a:gd name="T31" fmla="*/ 2067 h 20"/>
                                  <a:gd name="T32" fmla="+- 0 6552 6552"/>
                                  <a:gd name="T33" fmla="*/ T32 w 20"/>
                                  <a:gd name="T34" fmla="+- 0 2060 2050"/>
                                  <a:gd name="T35" fmla="*/ 206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300F" id="Freeform 936" o:spid="_x0000_s1026" alt="&quot;&quot;" style="position:absolute;margin-left:327.6pt;margin-top:102.5pt;width:1pt;height:1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" path="m,10l3,3,10,r7,3l20,10r-3,7l10,20,3,17,,10xe" fillcolor="#22b893" stroked="f">
                      <v:path arrowok="t" o:connecttype="custom" o:connectlocs="0,1308100;1905,1303655;6350,1301750;10795,1303655;12700,1308100;10795,1312545;6350,1314450;1905,1312545;0,1308100" o:connectangles="0,0,0,0,0,0,0,0,0"/>
                      <w10:wrap anchorx="page" anchory="page"/>
                    </v:shape>
                  </w:pict>
                </mc:Fallback>
              </mc:AlternateContent>
            </w:r>
          </w:p>
        </w:tc>
        <w:tc>
          <w:tcPr>
            <w:tcW w:w="7371" w:type="dxa"/>
            <w:gridSpan w:val="2"/>
          </w:tcPr>
          <w:p w14:paraId="0772AB43" w14:textId="77777777" w:rsidR="00990345" w:rsidRPr="00F21D27" w:rsidRDefault="00990345" w:rsidP="00351028">
            <w:pPr>
              <w:pStyle w:val="TableText"/>
              <w:rPr>
                <w:sz w:val="22"/>
                <w:szCs w:val="22"/>
              </w:rPr>
            </w:pPr>
            <w:r w:rsidRPr="0029210A">
              <w:rPr>
                <w:b/>
                <w:sz w:val="22"/>
                <w:szCs w:val="22"/>
              </w:rPr>
              <w:t xml:space="preserve">Focus </w:t>
            </w:r>
            <w:r w:rsidRPr="00F21D27">
              <w:rPr>
                <w:b/>
                <w:sz w:val="22"/>
                <w:szCs w:val="22"/>
              </w:rPr>
              <w:t xml:space="preserve">area: </w:t>
            </w:r>
            <w:r w:rsidR="00F21D27" w:rsidRPr="00F21D27">
              <w:rPr>
                <w:sz w:val="22"/>
                <w:szCs w:val="22"/>
              </w:rPr>
              <w:t>Reduce the availability and accessibility of alcohol</w:t>
            </w:r>
          </w:p>
          <w:p w14:paraId="5520D6F8" w14:textId="77777777" w:rsidR="00F21D27" w:rsidRPr="00F21D27" w:rsidRDefault="00F21D27" w:rsidP="00F21D27">
            <w:pPr>
              <w:pStyle w:val="TableText"/>
              <w:rPr>
                <w:sz w:val="20"/>
              </w:rPr>
            </w:pPr>
            <w:r w:rsidRPr="00F21D27">
              <w:rPr>
                <w:sz w:val="20"/>
              </w:rPr>
              <w:t>What do we know about the impact of having widely available and easily accessible alcohol?</w:t>
            </w:r>
          </w:p>
          <w:p w14:paraId="67E3D9AF" w14:textId="77777777" w:rsidR="00990345" w:rsidRDefault="00F21D27" w:rsidP="00F21D27">
            <w:pPr>
              <w:pStyle w:val="TableText"/>
            </w:pPr>
            <w:r w:rsidRPr="00C000B2">
              <w:t>A higher number and density of outlets (particularly off-licence outlets),</w:t>
            </w:r>
            <w:r w:rsidRPr="00F21D27">
              <w:rPr>
                <w:vertAlign w:val="superscript"/>
              </w:rPr>
              <w:t>156, 157</w:t>
            </w:r>
            <w:r w:rsidRPr="00C000B2">
              <w:t xml:space="preserve"> and longer trading hours are linked to higher levels of alcohol consumption and higher rates of hazardous drinking.</w:t>
            </w:r>
            <w:r w:rsidRPr="00F21D27">
              <w:rPr>
                <w:vertAlign w:val="superscript"/>
              </w:rPr>
              <w:t>130,</w:t>
            </w:r>
            <w:r>
              <w:rPr>
                <w:vertAlign w:val="superscript"/>
              </w:rPr>
              <w:t> </w:t>
            </w:r>
            <w:r w:rsidRPr="00F21D27">
              <w:rPr>
                <w:vertAlign w:val="superscript"/>
              </w:rPr>
              <w:t>139,</w:t>
            </w:r>
            <w:r>
              <w:rPr>
                <w:vertAlign w:val="superscript"/>
              </w:rPr>
              <w:t> </w:t>
            </w:r>
            <w:r w:rsidRPr="00F21D27">
              <w:rPr>
                <w:vertAlign w:val="superscript"/>
              </w:rPr>
              <w:t>158</w:t>
            </w:r>
            <w:r w:rsidRPr="00C000B2">
              <w:t xml:space="preserve"> A lower</w:t>
            </w:r>
            <w:r>
              <w:t xml:space="preserve"> </w:t>
            </w:r>
            <w:r w:rsidRPr="00C000B2">
              <w:t>minimum alcohol purchasing age is associated with more frequent drinking and higher rates of hazardous drinking and alcohol-related harm in young people.</w:t>
            </w:r>
            <w:r w:rsidRPr="00F21D27">
              <w:rPr>
                <w:vertAlign w:val="superscript"/>
              </w:rPr>
              <w:t>159</w:t>
            </w:r>
            <w:r w:rsidRPr="00C000B2">
              <w:t xml:space="preserve"> Nationally and internationally, it is also clear that drinking habits established in adolescence and early adulthood persist over a person’s lifetime,</w:t>
            </w:r>
            <w:r w:rsidRPr="00F21D27">
              <w:rPr>
                <w:vertAlign w:val="superscript"/>
              </w:rPr>
              <w:t>160,</w:t>
            </w:r>
            <w:r>
              <w:rPr>
                <w:vertAlign w:val="superscript"/>
              </w:rPr>
              <w:t> </w:t>
            </w:r>
            <w:r w:rsidRPr="00F21D27">
              <w:rPr>
                <w:vertAlign w:val="superscript"/>
              </w:rPr>
              <w:t>161</w:t>
            </w:r>
            <w:r w:rsidRPr="00C000B2">
              <w:t xml:space="preserve"> and starting drinking at an earlier age increases the likelihood of heavy and binge drinking patterns.</w:t>
            </w:r>
            <w:r w:rsidRPr="00F21D27">
              <w:rPr>
                <w:vertAlign w:val="superscript"/>
              </w:rPr>
              <w:t>162</w:t>
            </w:r>
          </w:p>
        </w:tc>
      </w:tr>
      <w:tr w:rsidR="00990345" w14:paraId="73B7BC8D" w14:textId="77777777" w:rsidTr="00351028">
        <w:trPr>
          <w:cantSplit/>
        </w:trPr>
        <w:tc>
          <w:tcPr>
            <w:tcW w:w="426" w:type="dxa"/>
            <w:tcBorders>
              <w:right w:val="single" w:sz="48" w:space="0" w:color="FFFFFF" w:themeColor="background1"/>
            </w:tcBorders>
            <w:shd w:val="clear" w:color="auto" w:fill="22B893"/>
          </w:tcPr>
          <w:p w14:paraId="775763DD" w14:textId="77777777" w:rsidR="00990345" w:rsidRDefault="00990345" w:rsidP="00351028"/>
        </w:tc>
        <w:tc>
          <w:tcPr>
            <w:tcW w:w="304" w:type="dxa"/>
            <w:shd w:val="clear" w:color="auto" w:fill="F37973"/>
          </w:tcPr>
          <w:p w14:paraId="6E9F0D8B" w14:textId="77777777" w:rsidR="00990345" w:rsidRPr="0029210A" w:rsidRDefault="00990345" w:rsidP="00351028">
            <w:pPr>
              <w:pStyle w:val="TableText"/>
            </w:pPr>
          </w:p>
        </w:tc>
        <w:tc>
          <w:tcPr>
            <w:tcW w:w="7067" w:type="dxa"/>
          </w:tcPr>
          <w:p w14:paraId="66D77BDD" w14:textId="77777777" w:rsidR="00990345" w:rsidRPr="0029210A" w:rsidRDefault="00F21D27" w:rsidP="00351028">
            <w:pPr>
              <w:pStyle w:val="TableText"/>
              <w:ind w:left="113"/>
            </w:pPr>
            <w:r w:rsidRPr="00C000B2">
              <w:t>More outlets are in socioeconomically deprived areas, which is also where disproportionate numbers of whānau Māori and Pacific families live. Young Māori and Pacific males, young European females, and middle-aged and older males experience the most harm related to high density of alcohol outlets or living in close proximity to alcohol outlets.</w:t>
            </w:r>
            <w:r w:rsidRPr="00F21D27">
              <w:rPr>
                <w:vertAlign w:val="superscript"/>
              </w:rPr>
              <w:t>163,</w:t>
            </w:r>
            <w:r>
              <w:rPr>
                <w:vertAlign w:val="superscript"/>
              </w:rPr>
              <w:t> </w:t>
            </w:r>
            <w:r w:rsidRPr="00F21D27">
              <w:rPr>
                <w:vertAlign w:val="superscript"/>
              </w:rPr>
              <w:t>164</w:t>
            </w:r>
          </w:p>
        </w:tc>
      </w:tr>
    </w:tbl>
    <w:p w14:paraId="6AC9634F" w14:textId="77777777" w:rsidR="00990345" w:rsidRPr="00C000B2" w:rsidRDefault="00990345" w:rsidP="00F21D27">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01F6194C" w14:textId="77777777" w:rsidTr="00AB11A2">
        <w:trPr>
          <w:cantSplit/>
        </w:trPr>
        <w:tc>
          <w:tcPr>
            <w:tcW w:w="8080" w:type="dxa"/>
            <w:gridSpan w:val="2"/>
            <w:tcBorders>
              <w:bottom w:val="nil"/>
            </w:tcBorders>
            <w:shd w:val="clear" w:color="auto" w:fill="D7EDE4"/>
          </w:tcPr>
          <w:p w14:paraId="4AF3B1BA" w14:textId="77777777" w:rsidR="0029210A" w:rsidRPr="00AB3864" w:rsidRDefault="0029210A" w:rsidP="00F21D27">
            <w:pPr>
              <w:pStyle w:val="TableText"/>
              <w:keepNext/>
              <w:rPr>
                <w:b/>
                <w:sz w:val="22"/>
                <w:szCs w:val="22"/>
              </w:rPr>
            </w:pPr>
            <w:r w:rsidRPr="00AB3864">
              <w:rPr>
                <w:b/>
                <w:sz w:val="22"/>
                <w:szCs w:val="22"/>
              </w:rPr>
              <w:lastRenderedPageBreak/>
              <w:t xml:space="preserve">Action: </w:t>
            </w:r>
            <w:r w:rsidR="00F21D27" w:rsidRPr="00F21D27">
              <w:rPr>
                <w:sz w:val="22"/>
                <w:szCs w:val="22"/>
              </w:rPr>
              <w:t>Decrease the number and density of licensed premises</w:t>
            </w:r>
          </w:p>
        </w:tc>
      </w:tr>
      <w:tr w:rsidR="0029210A" w14:paraId="2A5193EC" w14:textId="77777777" w:rsidTr="00684E35">
        <w:trPr>
          <w:cantSplit/>
        </w:trPr>
        <w:tc>
          <w:tcPr>
            <w:tcW w:w="4040" w:type="dxa"/>
            <w:tcBorders>
              <w:top w:val="nil"/>
              <w:bottom w:val="single" w:sz="8" w:space="0" w:color="22B893"/>
              <w:right w:val="dashed" w:sz="4" w:space="0" w:color="22B893"/>
            </w:tcBorders>
          </w:tcPr>
          <w:p w14:paraId="59351B3A" w14:textId="77777777" w:rsidR="0029210A" w:rsidRPr="00AB3864" w:rsidRDefault="0029210A" w:rsidP="00AB11A2">
            <w:pPr>
              <w:pStyle w:val="TableText"/>
              <w:ind w:right="142"/>
              <w:rPr>
                <w:sz w:val="20"/>
              </w:rPr>
            </w:pPr>
            <w:r w:rsidRPr="00AB3864">
              <w:rPr>
                <w:sz w:val="20"/>
              </w:rPr>
              <w:t>What is the evidence?</w:t>
            </w:r>
          </w:p>
          <w:p w14:paraId="656256C3" w14:textId="77777777" w:rsidR="00F21D27" w:rsidRPr="00C000B2" w:rsidRDefault="00F21D27" w:rsidP="00F21D27">
            <w:pPr>
              <w:pStyle w:val="TableText"/>
              <w:ind w:right="113"/>
            </w:pPr>
            <w:r w:rsidRPr="00C000B2">
              <w:t xml:space="preserve">Good evidence indicates that increases in outlet density </w:t>
            </w:r>
            <w:proofErr w:type="gramStart"/>
            <w:r w:rsidRPr="00C000B2">
              <w:t>lead</w:t>
            </w:r>
            <w:proofErr w:type="gramEnd"/>
            <w:r w:rsidRPr="00C000B2">
              <w:t xml:space="preserve"> to higher alcohol consumption.</w:t>
            </w:r>
            <w:r w:rsidRPr="00F21D27">
              <w:rPr>
                <w:vertAlign w:val="superscript"/>
              </w:rPr>
              <w:t>157,</w:t>
            </w:r>
            <w:r>
              <w:rPr>
                <w:vertAlign w:val="superscript"/>
              </w:rPr>
              <w:t> </w:t>
            </w:r>
            <w:r w:rsidRPr="00F21D27">
              <w:rPr>
                <w:vertAlign w:val="superscript"/>
              </w:rPr>
              <w:t>165,</w:t>
            </w:r>
            <w:r>
              <w:rPr>
                <w:vertAlign w:val="superscript"/>
              </w:rPr>
              <w:t> </w:t>
            </w:r>
            <w:r w:rsidRPr="00F21D27">
              <w:rPr>
                <w:vertAlign w:val="superscript"/>
              </w:rPr>
              <w:t>166</w:t>
            </w:r>
            <w:r w:rsidRPr="00C000B2">
              <w:t xml:space="preserve"> More limited evidence links reductions in the number and/or density of off-licence outlets to lower alcohol consumption.</w:t>
            </w:r>
            <w:r w:rsidRPr="00F21D27">
              <w:rPr>
                <w:vertAlign w:val="superscript"/>
              </w:rPr>
              <w:t>167</w:t>
            </w:r>
          </w:p>
          <w:p w14:paraId="08A76DC1" w14:textId="77777777" w:rsidR="00F21D27" w:rsidRPr="00C000B2" w:rsidRDefault="00F21D27" w:rsidP="00F21D27">
            <w:pPr>
              <w:pStyle w:val="TableText"/>
              <w:ind w:right="113"/>
            </w:pPr>
            <w:r w:rsidRPr="00C000B2">
              <w:t>In Australia and the United Kingdom, cumulative impact policies (in places where there is concern about the impacts from existing alcohol outlets) have been implemented to try to limit the growth of alcohol availability.</w:t>
            </w:r>
            <w:r w:rsidRPr="00F21D27">
              <w:rPr>
                <w:vertAlign w:val="superscript"/>
              </w:rPr>
              <w:t>168</w:t>
            </w:r>
            <w:r w:rsidRPr="00C000B2">
              <w:t xml:space="preserve"> In Baltimore, USA, land use regulation has been changed to prohibit off-licence premises in residential zones, which has included the closure of over 200</w:t>
            </w:r>
            <w:r w:rsidR="007D235D">
              <w:t> </w:t>
            </w:r>
            <w:r w:rsidRPr="00C000B2">
              <w:t>outlets.</w:t>
            </w:r>
            <w:r w:rsidRPr="00F21D27">
              <w:rPr>
                <w:vertAlign w:val="superscript"/>
              </w:rPr>
              <w:t>169</w:t>
            </w:r>
          </w:p>
          <w:p w14:paraId="1A2A42B5" w14:textId="77777777" w:rsidR="0029210A" w:rsidRDefault="00F21D27" w:rsidP="00F21D27">
            <w:pPr>
              <w:pStyle w:val="TableText"/>
              <w:ind w:right="113"/>
            </w:pPr>
            <w:r w:rsidRPr="00C000B2">
              <w:t>Fifty-four percent of New Zealanders supported having fewer places that sell alcohol in local communities.</w:t>
            </w:r>
            <w:r w:rsidRPr="00F21D27">
              <w:rPr>
                <w:vertAlign w:val="superscript"/>
              </w:rPr>
              <w:t>170</w:t>
            </w:r>
          </w:p>
        </w:tc>
        <w:tc>
          <w:tcPr>
            <w:tcW w:w="4040" w:type="dxa"/>
            <w:tcBorders>
              <w:top w:val="nil"/>
              <w:left w:val="dashed" w:sz="4" w:space="0" w:color="22B893"/>
              <w:bottom w:val="single" w:sz="8" w:space="0" w:color="22B893"/>
            </w:tcBorders>
          </w:tcPr>
          <w:p w14:paraId="624DD911" w14:textId="77777777" w:rsidR="0029210A" w:rsidRPr="00AB3864" w:rsidRDefault="0029210A" w:rsidP="00AB11A2">
            <w:pPr>
              <w:pStyle w:val="TableText"/>
              <w:ind w:left="113"/>
              <w:rPr>
                <w:sz w:val="20"/>
              </w:rPr>
            </w:pPr>
            <w:r w:rsidRPr="00AB3864">
              <w:rPr>
                <w:sz w:val="20"/>
              </w:rPr>
              <w:t>What is Aotearoa doing currently?</w:t>
            </w:r>
          </w:p>
          <w:p w14:paraId="5F8D4DAC" w14:textId="77777777" w:rsidR="00F21D27" w:rsidRPr="00C000B2" w:rsidRDefault="00F21D27" w:rsidP="00F21D27">
            <w:pPr>
              <w:pStyle w:val="TableText"/>
              <w:ind w:left="113"/>
            </w:pPr>
            <w:r w:rsidRPr="00C000B2">
              <w:t xml:space="preserve">The Sale and Supply of Alcohol Act 2012 (SSAA) allows for councils to develop local alcohol policies (LAPs) to restrict outlet location, </w:t>
            </w:r>
            <w:proofErr w:type="gramStart"/>
            <w:r w:rsidRPr="00C000B2">
              <w:t>density</w:t>
            </w:r>
            <w:proofErr w:type="gramEnd"/>
            <w:r w:rsidRPr="00C000B2">
              <w:t xml:space="preserve"> and trading hours. It also allows licensing committees to reject new licences and restrict trading hours if there is sufficient evidence of acute health or social harms.</w:t>
            </w:r>
          </w:p>
          <w:p w14:paraId="4AE999EC" w14:textId="77777777" w:rsidR="00F21D27" w:rsidRPr="00C000B2" w:rsidRDefault="00F21D27" w:rsidP="00F21D27">
            <w:pPr>
              <w:pStyle w:val="TableText"/>
              <w:ind w:left="113"/>
            </w:pPr>
            <w:r w:rsidRPr="00C000B2">
              <w:t xml:space="preserve">However, LAPs are voluntary and are subject to appeal. In 2020, 41 of 67 (61%) councils had adopted a LAP but this did not include Auckland, Hamilton, </w:t>
            </w:r>
            <w:proofErr w:type="gramStart"/>
            <w:r w:rsidRPr="00C000B2">
              <w:t>Wellington</w:t>
            </w:r>
            <w:proofErr w:type="gramEnd"/>
            <w:r w:rsidRPr="00C000B2">
              <w:t xml:space="preserve"> or Christchurch (the biggest population centres).</w:t>
            </w:r>
            <w:r w:rsidRPr="00F21D27">
              <w:rPr>
                <w:vertAlign w:val="superscript"/>
              </w:rPr>
              <w:t>133</w:t>
            </w:r>
            <w:r w:rsidRPr="00C000B2">
              <w:t xml:space="preserve"> Cumbersome statutory processes and a litigious industry have prevented or delayed some councils from adopting LAPs. Additionally, the SSAA does not provide for Māori input into LAPs or licensing decisions. LAPs apply to new licences and have limited ability to reduce the number or density of existing alcohol outlets.</w:t>
            </w:r>
            <w:r w:rsidRPr="00F21D27">
              <w:rPr>
                <w:vertAlign w:val="superscript"/>
              </w:rPr>
              <w:t>133</w:t>
            </w:r>
          </w:p>
          <w:p w14:paraId="7EC2D5C9" w14:textId="77777777" w:rsidR="00F21D27" w:rsidRPr="00C000B2" w:rsidRDefault="00F21D27" w:rsidP="00F21D27">
            <w:pPr>
              <w:pStyle w:val="TableText"/>
              <w:ind w:left="113"/>
            </w:pPr>
            <w:r w:rsidRPr="00C000B2">
              <w:t>In 2017, few LAPs contained strong restrictions to alcohol outlet availability, with many restrictions weakened or removed during the appeals process.</w:t>
            </w:r>
            <w:r w:rsidRPr="00F21D27">
              <w:rPr>
                <w:vertAlign w:val="superscript"/>
              </w:rPr>
              <w:t>133</w:t>
            </w:r>
            <w:r w:rsidRPr="00C000B2">
              <w:t xml:space="preserve"> For example, no adopted LAPs included restrictions to the location of outlets (beyond those in local district plans) and very few included a cap on the total number of outlets.</w:t>
            </w:r>
            <w:r w:rsidRPr="00F21D27">
              <w:rPr>
                <w:vertAlign w:val="superscript"/>
              </w:rPr>
              <w:t>163</w:t>
            </w:r>
            <w:r w:rsidRPr="00C000B2">
              <w:t xml:space="preserve"> Very few applications for new licences are refused each year.</w:t>
            </w:r>
            <w:r w:rsidRPr="00F21D27">
              <w:rPr>
                <w:vertAlign w:val="superscript"/>
              </w:rPr>
              <w:t>171</w:t>
            </w:r>
          </w:p>
          <w:p w14:paraId="1390852C" w14:textId="77777777" w:rsidR="0029210A" w:rsidRDefault="00F21D27" w:rsidP="00F21D27">
            <w:pPr>
              <w:pStyle w:val="TableText"/>
              <w:ind w:left="113"/>
            </w:pPr>
            <w:r w:rsidRPr="00C000B2">
              <w:t>A review of the SSAA in 2018 found that it has had only limited impact on alcohol availability, with no change seen in the total number of licensed premises from 2013 to 2015.</w:t>
            </w:r>
            <w:r w:rsidRPr="00F21D27">
              <w:rPr>
                <w:vertAlign w:val="superscript"/>
              </w:rPr>
              <w:t>172</w:t>
            </w:r>
            <w:r w:rsidRPr="00C000B2">
              <w:t xml:space="preserve"> In 2020 more than 11,000 businesses sold alcohol in Aotearoa,</w:t>
            </w:r>
            <w:r w:rsidRPr="00F21D27">
              <w:rPr>
                <w:vertAlign w:val="superscript"/>
              </w:rPr>
              <w:t>133</w:t>
            </w:r>
            <w:r w:rsidRPr="00C000B2">
              <w:t xml:space="preserve"> which is similar to the number of outlets in 2014.</w:t>
            </w:r>
            <w:r w:rsidRPr="00F21D27">
              <w:rPr>
                <w:vertAlign w:val="superscript"/>
              </w:rPr>
              <w:t>173</w:t>
            </w:r>
          </w:p>
        </w:tc>
      </w:tr>
    </w:tbl>
    <w:p w14:paraId="16A47B49" w14:textId="77777777" w:rsidR="0029210A" w:rsidRPr="00C000B2" w:rsidRDefault="0029210A" w:rsidP="00F21D27">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7147C2C9" w14:textId="77777777" w:rsidTr="00AB11A2">
        <w:trPr>
          <w:cantSplit/>
        </w:trPr>
        <w:tc>
          <w:tcPr>
            <w:tcW w:w="8080" w:type="dxa"/>
            <w:gridSpan w:val="2"/>
            <w:tcBorders>
              <w:bottom w:val="nil"/>
            </w:tcBorders>
            <w:shd w:val="clear" w:color="auto" w:fill="D7EDE4"/>
          </w:tcPr>
          <w:p w14:paraId="3F1A5BFD" w14:textId="77777777" w:rsidR="0029210A" w:rsidRPr="00AB3864" w:rsidRDefault="0029210A" w:rsidP="00684E35">
            <w:pPr>
              <w:pStyle w:val="TableText"/>
              <w:keepNext/>
              <w:rPr>
                <w:b/>
                <w:sz w:val="22"/>
                <w:szCs w:val="22"/>
              </w:rPr>
            </w:pPr>
            <w:r w:rsidRPr="00AB3864">
              <w:rPr>
                <w:b/>
                <w:sz w:val="22"/>
                <w:szCs w:val="22"/>
              </w:rPr>
              <w:lastRenderedPageBreak/>
              <w:t xml:space="preserve">Action: </w:t>
            </w:r>
            <w:r w:rsidR="00F21D27" w:rsidRPr="00F21D27">
              <w:rPr>
                <w:sz w:val="22"/>
                <w:szCs w:val="22"/>
              </w:rPr>
              <w:t>Decrease trading hours – particularly for off-licence outlets</w:t>
            </w:r>
          </w:p>
        </w:tc>
      </w:tr>
      <w:tr w:rsidR="0029210A" w14:paraId="5CC8D313" w14:textId="77777777" w:rsidTr="00684E35">
        <w:trPr>
          <w:cantSplit/>
        </w:trPr>
        <w:tc>
          <w:tcPr>
            <w:tcW w:w="4040" w:type="dxa"/>
            <w:tcBorders>
              <w:top w:val="nil"/>
              <w:bottom w:val="single" w:sz="8" w:space="0" w:color="22B893"/>
              <w:right w:val="dashed" w:sz="4" w:space="0" w:color="22B893"/>
            </w:tcBorders>
          </w:tcPr>
          <w:p w14:paraId="69089CF7" w14:textId="77777777" w:rsidR="0029210A" w:rsidRPr="00AB3864" w:rsidRDefault="0029210A" w:rsidP="00AB11A2">
            <w:pPr>
              <w:pStyle w:val="TableText"/>
              <w:ind w:right="142"/>
              <w:rPr>
                <w:sz w:val="20"/>
              </w:rPr>
            </w:pPr>
            <w:r w:rsidRPr="00AB3864">
              <w:rPr>
                <w:sz w:val="20"/>
              </w:rPr>
              <w:t>What is the evidence?</w:t>
            </w:r>
          </w:p>
          <w:p w14:paraId="0A7AAAFE" w14:textId="77777777" w:rsidR="00F21D27" w:rsidRPr="00C000B2" w:rsidRDefault="00F21D27" w:rsidP="00684E35">
            <w:pPr>
              <w:pStyle w:val="TableText"/>
              <w:ind w:right="113"/>
            </w:pPr>
            <w:r w:rsidRPr="00C000B2">
              <w:t>Restricting trading hours reduces consumption of alcohol.</w:t>
            </w:r>
            <w:r w:rsidRPr="00F21D27">
              <w:rPr>
                <w:vertAlign w:val="superscript"/>
              </w:rPr>
              <w:t>145,</w:t>
            </w:r>
            <w:r>
              <w:rPr>
                <w:vertAlign w:val="superscript"/>
              </w:rPr>
              <w:t> </w:t>
            </w:r>
            <w:r w:rsidRPr="00F21D27">
              <w:rPr>
                <w:vertAlign w:val="superscript"/>
              </w:rPr>
              <w:t>167</w:t>
            </w:r>
            <w:r w:rsidRPr="00C000B2">
              <w:t xml:space="preserve"> It can also result in fewer assaults.</w:t>
            </w:r>
            <w:r w:rsidRPr="00F21D27">
              <w:rPr>
                <w:vertAlign w:val="superscript"/>
              </w:rPr>
              <w:t>174,</w:t>
            </w:r>
            <w:r>
              <w:rPr>
                <w:vertAlign w:val="superscript"/>
              </w:rPr>
              <w:t> </w:t>
            </w:r>
            <w:r w:rsidRPr="00F21D27">
              <w:rPr>
                <w:vertAlign w:val="superscript"/>
              </w:rPr>
              <w:t>175</w:t>
            </w:r>
          </w:p>
          <w:p w14:paraId="1EFE7E09" w14:textId="77777777" w:rsidR="0029210A" w:rsidRDefault="00F21D27" w:rsidP="00684E35">
            <w:pPr>
              <w:pStyle w:val="TableText"/>
              <w:ind w:right="113"/>
            </w:pPr>
            <w:r w:rsidRPr="00C000B2">
              <w:t>Aotearoa surveys show that over 60 percent of people support reducing the hours that alcohol can be sold.</w:t>
            </w:r>
            <w:r w:rsidRPr="00F21D27">
              <w:rPr>
                <w:vertAlign w:val="superscript"/>
              </w:rPr>
              <w:t>176</w:t>
            </w:r>
          </w:p>
        </w:tc>
        <w:tc>
          <w:tcPr>
            <w:tcW w:w="4040" w:type="dxa"/>
            <w:tcBorders>
              <w:top w:val="nil"/>
              <w:left w:val="dashed" w:sz="4" w:space="0" w:color="22B893"/>
              <w:bottom w:val="single" w:sz="8" w:space="0" w:color="22B893"/>
            </w:tcBorders>
          </w:tcPr>
          <w:p w14:paraId="2435D5BF" w14:textId="77777777" w:rsidR="0029210A" w:rsidRPr="00AB3864" w:rsidRDefault="0029210A" w:rsidP="00AB11A2">
            <w:pPr>
              <w:pStyle w:val="TableText"/>
              <w:ind w:left="113"/>
              <w:rPr>
                <w:sz w:val="20"/>
              </w:rPr>
            </w:pPr>
            <w:r w:rsidRPr="00AB3864">
              <w:rPr>
                <w:sz w:val="20"/>
              </w:rPr>
              <w:t>What is Aotearoa doing currently?</w:t>
            </w:r>
          </w:p>
          <w:p w14:paraId="4055B5E3" w14:textId="77777777" w:rsidR="00684E35" w:rsidRPr="00C000B2" w:rsidRDefault="00684E35" w:rsidP="00684E35">
            <w:pPr>
              <w:pStyle w:val="TableText"/>
              <w:ind w:left="113"/>
            </w:pPr>
            <w:r w:rsidRPr="00C000B2">
              <w:t>The SSAA sets the following maximum default opening hours:</w:t>
            </w:r>
          </w:p>
          <w:p w14:paraId="332F9377" w14:textId="77777777" w:rsidR="00684E35" w:rsidRPr="00C000B2" w:rsidRDefault="00684E35" w:rsidP="00684E35">
            <w:pPr>
              <w:pStyle w:val="TableBullet"/>
              <w:tabs>
                <w:tab w:val="clear" w:pos="284"/>
              </w:tabs>
              <w:ind w:left="397"/>
            </w:pPr>
            <w:r w:rsidRPr="00C000B2">
              <w:t>off-licence premises (such as supermarkets and bottle stores): 7 am to 11</w:t>
            </w:r>
            <w:r>
              <w:t> </w:t>
            </w:r>
            <w:r w:rsidRPr="00C000B2">
              <w:t>pm</w:t>
            </w:r>
          </w:p>
          <w:p w14:paraId="43391971" w14:textId="77777777" w:rsidR="00684E35" w:rsidRPr="00C000B2" w:rsidRDefault="00684E35" w:rsidP="00684E35">
            <w:pPr>
              <w:pStyle w:val="TableBullet"/>
              <w:tabs>
                <w:tab w:val="clear" w:pos="284"/>
              </w:tabs>
              <w:ind w:left="397"/>
            </w:pPr>
            <w:r w:rsidRPr="00C000B2">
              <w:t>clubs and on-licence premises: 8 am to 4</w:t>
            </w:r>
            <w:r>
              <w:t> </w:t>
            </w:r>
            <w:r w:rsidRPr="00C000B2">
              <w:t>am.</w:t>
            </w:r>
          </w:p>
          <w:p w14:paraId="0091DC65" w14:textId="77777777" w:rsidR="00684E35" w:rsidRPr="00C000B2" w:rsidRDefault="00684E35" w:rsidP="00684E35">
            <w:pPr>
              <w:pStyle w:val="TableText"/>
              <w:ind w:left="113"/>
            </w:pPr>
            <w:r w:rsidRPr="00C000B2">
              <w:t>In 2017, only one out of 29 adopted LAPs had a more restrictive opening time for off-licences than the maximum prescribed in the SSAA, but most had more restrictive closing times. For on-licence premises, closing times were generally between 1 and 3 am for residential areas and were between 2 and 3 am for urban areas.</w:t>
            </w:r>
          </w:p>
          <w:p w14:paraId="76C0C815" w14:textId="77777777" w:rsidR="0029210A" w:rsidRDefault="00684E35" w:rsidP="00684E35">
            <w:pPr>
              <w:pStyle w:val="TableText"/>
              <w:ind w:left="113"/>
            </w:pPr>
            <w:r w:rsidRPr="00C000B2">
              <w:t>For off-licence premises, most closing times were either 9–9.30 pm (32 percent) or 10 pm (45 percent). Closing times for supermarkets</w:t>
            </w:r>
            <w:r>
              <w:t xml:space="preserve"> </w:t>
            </w:r>
            <w:r w:rsidRPr="00C000B2">
              <w:t>and bottle stores generally became later following appeals.</w:t>
            </w:r>
            <w:r w:rsidRPr="00684E35">
              <w:rPr>
                <w:vertAlign w:val="superscript"/>
              </w:rPr>
              <w:t>133</w:t>
            </w:r>
          </w:p>
        </w:tc>
      </w:tr>
    </w:tbl>
    <w:p w14:paraId="1F56789D" w14:textId="77777777" w:rsidR="0029210A" w:rsidRPr="00C000B2" w:rsidRDefault="0029210A" w:rsidP="007D235D">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54F6B401" w14:textId="77777777" w:rsidTr="00AB11A2">
        <w:trPr>
          <w:cantSplit/>
        </w:trPr>
        <w:tc>
          <w:tcPr>
            <w:tcW w:w="8080" w:type="dxa"/>
            <w:gridSpan w:val="2"/>
            <w:tcBorders>
              <w:bottom w:val="nil"/>
            </w:tcBorders>
            <w:shd w:val="clear" w:color="auto" w:fill="D7EDE4"/>
          </w:tcPr>
          <w:p w14:paraId="535DEA6A" w14:textId="77777777" w:rsidR="0029210A" w:rsidRPr="00AB3864" w:rsidRDefault="0029210A" w:rsidP="00AB11A2">
            <w:pPr>
              <w:pStyle w:val="TableText"/>
              <w:rPr>
                <w:b/>
                <w:sz w:val="22"/>
                <w:szCs w:val="22"/>
              </w:rPr>
            </w:pPr>
            <w:r w:rsidRPr="00AB3864">
              <w:rPr>
                <w:b/>
                <w:sz w:val="22"/>
                <w:szCs w:val="22"/>
              </w:rPr>
              <w:t xml:space="preserve">Action: </w:t>
            </w:r>
            <w:r w:rsidR="007D235D" w:rsidRPr="007D235D">
              <w:rPr>
                <w:sz w:val="22"/>
                <w:szCs w:val="22"/>
              </w:rPr>
              <w:t>Increase the legal purchase age for alcohol from 18 years to 20 years</w:t>
            </w:r>
          </w:p>
        </w:tc>
      </w:tr>
      <w:tr w:rsidR="0029210A" w14:paraId="6DF815D1" w14:textId="77777777" w:rsidTr="007D235D">
        <w:trPr>
          <w:cantSplit/>
        </w:trPr>
        <w:tc>
          <w:tcPr>
            <w:tcW w:w="4040" w:type="dxa"/>
            <w:tcBorders>
              <w:top w:val="nil"/>
              <w:bottom w:val="single" w:sz="8" w:space="0" w:color="22B893"/>
              <w:right w:val="dashed" w:sz="4" w:space="0" w:color="22B893"/>
            </w:tcBorders>
          </w:tcPr>
          <w:p w14:paraId="17647FDB" w14:textId="77777777" w:rsidR="0029210A" w:rsidRPr="00AB3864" w:rsidRDefault="0029210A" w:rsidP="00AB11A2">
            <w:pPr>
              <w:pStyle w:val="TableText"/>
              <w:ind w:right="142"/>
              <w:rPr>
                <w:sz w:val="20"/>
              </w:rPr>
            </w:pPr>
            <w:r w:rsidRPr="00AB3864">
              <w:rPr>
                <w:sz w:val="20"/>
              </w:rPr>
              <w:t>What is the evidence?</w:t>
            </w:r>
          </w:p>
          <w:p w14:paraId="0589A0D8" w14:textId="77777777" w:rsidR="007D235D" w:rsidRPr="00C000B2" w:rsidRDefault="007D235D" w:rsidP="007D235D">
            <w:pPr>
              <w:pStyle w:val="TableText"/>
              <w:ind w:right="113"/>
            </w:pPr>
            <w:r w:rsidRPr="00C000B2">
              <w:t>Internationally, a higher minimum drinking age is associated with starting to drink alcohol at an older age and a decrease in the frequency of heavy drinking.</w:t>
            </w:r>
            <w:r w:rsidRPr="007D235D">
              <w:rPr>
                <w:vertAlign w:val="superscript"/>
              </w:rPr>
              <w:t>159</w:t>
            </w:r>
          </w:p>
          <w:p w14:paraId="0BEC3F5C" w14:textId="77777777" w:rsidR="0029210A" w:rsidRDefault="007D235D" w:rsidP="007D235D">
            <w:pPr>
              <w:pStyle w:val="TableText"/>
              <w:ind w:right="113"/>
            </w:pPr>
            <w:r w:rsidRPr="00C000B2">
              <w:t>The USA 1984 National Minimum Purchase Age Act encouraged states to adopt a purchase age of 21 years. In settings where this was adopted, the percentage of alcohol-related motor vehicle fatalities among young adults decreased.</w:t>
            </w:r>
            <w:r w:rsidRPr="007D235D">
              <w:rPr>
                <w:vertAlign w:val="superscript"/>
              </w:rPr>
              <w:t>177</w:t>
            </w:r>
          </w:p>
        </w:tc>
        <w:tc>
          <w:tcPr>
            <w:tcW w:w="4040" w:type="dxa"/>
            <w:tcBorders>
              <w:top w:val="nil"/>
              <w:left w:val="dashed" w:sz="4" w:space="0" w:color="22B893"/>
              <w:bottom w:val="single" w:sz="8" w:space="0" w:color="22B893"/>
            </w:tcBorders>
          </w:tcPr>
          <w:p w14:paraId="01476B71" w14:textId="77777777" w:rsidR="0029210A" w:rsidRPr="00AB3864" w:rsidRDefault="0029210A" w:rsidP="00AB11A2">
            <w:pPr>
              <w:pStyle w:val="TableText"/>
              <w:ind w:left="113"/>
              <w:rPr>
                <w:sz w:val="20"/>
              </w:rPr>
            </w:pPr>
            <w:r w:rsidRPr="00AB3864">
              <w:rPr>
                <w:sz w:val="20"/>
              </w:rPr>
              <w:t>What is Aotearoa doing currently?</w:t>
            </w:r>
          </w:p>
          <w:p w14:paraId="2BF17850" w14:textId="77777777" w:rsidR="007D235D" w:rsidRPr="00C000B2" w:rsidRDefault="007D235D" w:rsidP="007D235D">
            <w:pPr>
              <w:pStyle w:val="TableText"/>
              <w:ind w:left="113"/>
            </w:pPr>
            <w:r w:rsidRPr="00C000B2">
              <w:t xml:space="preserve">It is illegal for those aged under 18 years to purchase </w:t>
            </w:r>
            <w:proofErr w:type="gramStart"/>
            <w:r w:rsidRPr="00C000B2">
              <w:t>alcohol</w:t>
            </w:r>
            <w:proofErr w:type="gramEnd"/>
            <w:r w:rsidRPr="00C000B2">
              <w:t xml:space="preserve"> but Aotearoa has no restrictions on the age at which alcohol can be consumed.</w:t>
            </w:r>
          </w:p>
          <w:p w14:paraId="69A1599F" w14:textId="77777777" w:rsidR="0029210A" w:rsidRDefault="007D235D" w:rsidP="007D235D">
            <w:pPr>
              <w:pStyle w:val="TableText"/>
              <w:ind w:left="113"/>
            </w:pPr>
            <w:r w:rsidRPr="00C000B2">
              <w:t>The purchasing age for alcohol was reduced from 20 years to 18 years in 1999. In the five years following the change, the proportion of drinkers aged 18–19 years increased, as did the frequency of drinking and drinking-related problems in this age group. Similarly those aged 16–17 years consumed alcohol more frequently and in greater quantities.</w:t>
            </w:r>
            <w:r w:rsidRPr="007D235D">
              <w:rPr>
                <w:vertAlign w:val="superscript"/>
              </w:rPr>
              <w:t>178</w:t>
            </w:r>
          </w:p>
        </w:tc>
      </w:tr>
    </w:tbl>
    <w:p w14:paraId="6169EE68" w14:textId="77777777" w:rsidR="0029210A" w:rsidRPr="00C000B2" w:rsidRDefault="0029210A" w:rsidP="007D235D">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0506B6A2" w14:textId="77777777" w:rsidTr="00351028">
        <w:trPr>
          <w:cantSplit/>
        </w:trPr>
        <w:tc>
          <w:tcPr>
            <w:tcW w:w="426" w:type="dxa"/>
            <w:tcBorders>
              <w:right w:val="single" w:sz="48" w:space="0" w:color="FFFFFF" w:themeColor="background1"/>
            </w:tcBorders>
            <w:shd w:val="clear" w:color="auto" w:fill="22B893"/>
          </w:tcPr>
          <w:p w14:paraId="37EBF2CF" w14:textId="77777777" w:rsidR="00990345" w:rsidRDefault="00990345" w:rsidP="007D235D">
            <w:pPr>
              <w:keepNext/>
            </w:pPr>
          </w:p>
        </w:tc>
        <w:tc>
          <w:tcPr>
            <w:tcW w:w="7371" w:type="dxa"/>
            <w:gridSpan w:val="2"/>
          </w:tcPr>
          <w:p w14:paraId="71CEBFAB" w14:textId="77777777" w:rsidR="00990345" w:rsidRPr="007D235D" w:rsidRDefault="00990345" w:rsidP="007D235D">
            <w:pPr>
              <w:pStyle w:val="TableText"/>
              <w:keepNext/>
              <w:rPr>
                <w:sz w:val="22"/>
                <w:szCs w:val="22"/>
              </w:rPr>
            </w:pPr>
            <w:r w:rsidRPr="0029210A">
              <w:rPr>
                <w:b/>
                <w:sz w:val="22"/>
                <w:szCs w:val="22"/>
              </w:rPr>
              <w:t xml:space="preserve">Focus area: </w:t>
            </w:r>
            <w:r w:rsidR="007D235D" w:rsidRPr="007D235D">
              <w:rPr>
                <w:sz w:val="22"/>
                <w:szCs w:val="22"/>
              </w:rPr>
              <w:t xml:space="preserve">Reduce alcohol advertising, </w:t>
            </w:r>
            <w:proofErr w:type="gramStart"/>
            <w:r w:rsidR="007D235D" w:rsidRPr="007D235D">
              <w:rPr>
                <w:sz w:val="22"/>
                <w:szCs w:val="22"/>
              </w:rPr>
              <w:t>marketing</w:t>
            </w:r>
            <w:proofErr w:type="gramEnd"/>
            <w:r w:rsidR="007D235D" w:rsidRPr="007D235D">
              <w:rPr>
                <w:sz w:val="22"/>
                <w:szCs w:val="22"/>
              </w:rPr>
              <w:t xml:space="preserve"> and sponsorship</w:t>
            </w:r>
          </w:p>
          <w:p w14:paraId="239C0679" w14:textId="77777777" w:rsidR="007D235D" w:rsidRPr="007D235D" w:rsidRDefault="007D235D" w:rsidP="007D235D">
            <w:pPr>
              <w:pStyle w:val="TableText"/>
              <w:keepNext/>
              <w:rPr>
                <w:sz w:val="20"/>
              </w:rPr>
            </w:pPr>
            <w:r w:rsidRPr="007D235D">
              <w:rPr>
                <w:sz w:val="20"/>
              </w:rPr>
              <w:t>What we know about the impact of widespread advertising and marketing of alcohol?</w:t>
            </w:r>
          </w:p>
          <w:p w14:paraId="33B11378" w14:textId="77777777" w:rsidR="007D235D" w:rsidRPr="00C000B2" w:rsidRDefault="007D235D" w:rsidP="007D235D">
            <w:pPr>
              <w:pStyle w:val="TableText"/>
              <w:keepNext/>
            </w:pPr>
            <w:r w:rsidRPr="00C000B2">
              <w:t>Children and adolescents are especially susceptible to alcohol advertising. Exposure to advertising is associated with starting to drink alcohol at a younger age and an increase in the amount of alcohol that young people consume.</w:t>
            </w:r>
            <w:r w:rsidRPr="007D235D">
              <w:rPr>
                <w:vertAlign w:val="superscript"/>
              </w:rPr>
              <w:t>138,</w:t>
            </w:r>
            <w:r>
              <w:rPr>
                <w:vertAlign w:val="superscript"/>
              </w:rPr>
              <w:t> </w:t>
            </w:r>
            <w:r w:rsidRPr="007D235D">
              <w:rPr>
                <w:vertAlign w:val="superscript"/>
              </w:rPr>
              <w:t>179-181</w:t>
            </w:r>
            <w:r w:rsidRPr="00C000B2">
              <w:t xml:space="preserve"> Being exposed to alcohol sponsorship of sports is linked to increased alcohol consumption by children and adult sporting participants.</w:t>
            </w:r>
            <w:r w:rsidRPr="007D235D">
              <w:rPr>
                <w:vertAlign w:val="superscript"/>
              </w:rPr>
              <w:t>182</w:t>
            </w:r>
          </w:p>
          <w:p w14:paraId="2B44AF52" w14:textId="77777777" w:rsidR="00990345" w:rsidRDefault="007D235D" w:rsidP="007D235D">
            <w:pPr>
              <w:pStyle w:val="TableText"/>
              <w:keepNext/>
            </w:pPr>
            <w:r w:rsidRPr="00C000B2">
              <w:t>Children in Aotearoa are regularly exposed to alcohol marketing (for example, outside shops, in sporting venues and on sporting merchandise). On average, children were exposed to 4.5 items of marketing each day (excluding screen advertising).</w:t>
            </w:r>
            <w:r w:rsidRPr="007D235D">
              <w:rPr>
                <w:vertAlign w:val="superscript"/>
              </w:rPr>
              <w:t>183</w:t>
            </w:r>
          </w:p>
        </w:tc>
      </w:tr>
      <w:tr w:rsidR="00990345" w14:paraId="2AED0F03" w14:textId="77777777" w:rsidTr="00351028">
        <w:trPr>
          <w:cantSplit/>
        </w:trPr>
        <w:tc>
          <w:tcPr>
            <w:tcW w:w="426" w:type="dxa"/>
            <w:tcBorders>
              <w:right w:val="single" w:sz="48" w:space="0" w:color="FFFFFF" w:themeColor="background1"/>
            </w:tcBorders>
            <w:shd w:val="clear" w:color="auto" w:fill="22B893"/>
          </w:tcPr>
          <w:p w14:paraId="6D991028" w14:textId="77777777" w:rsidR="00990345" w:rsidRDefault="00990345" w:rsidP="00351028"/>
        </w:tc>
        <w:tc>
          <w:tcPr>
            <w:tcW w:w="304" w:type="dxa"/>
            <w:shd w:val="clear" w:color="auto" w:fill="F37973"/>
          </w:tcPr>
          <w:p w14:paraId="240DCE49" w14:textId="77777777" w:rsidR="00990345" w:rsidRPr="0029210A" w:rsidRDefault="00990345" w:rsidP="00351028">
            <w:pPr>
              <w:pStyle w:val="TableText"/>
            </w:pPr>
          </w:p>
        </w:tc>
        <w:tc>
          <w:tcPr>
            <w:tcW w:w="7067" w:type="dxa"/>
          </w:tcPr>
          <w:p w14:paraId="40AF94D2" w14:textId="77777777" w:rsidR="00990345" w:rsidRPr="0029210A" w:rsidRDefault="007D235D" w:rsidP="00351028">
            <w:pPr>
              <w:pStyle w:val="TableText"/>
              <w:ind w:left="113"/>
            </w:pPr>
            <w:r w:rsidRPr="00C000B2">
              <w:t>Māori and Pacific children, and children living in more deprived neighbourhoods have higher levels of exposure to alcohol marketing.</w:t>
            </w:r>
            <w:r w:rsidRPr="007D235D">
              <w:rPr>
                <w:vertAlign w:val="superscript"/>
              </w:rPr>
              <w:t>145,</w:t>
            </w:r>
            <w:r>
              <w:rPr>
                <w:vertAlign w:val="superscript"/>
              </w:rPr>
              <w:t> </w:t>
            </w:r>
            <w:r w:rsidRPr="007D235D">
              <w:rPr>
                <w:vertAlign w:val="superscript"/>
              </w:rPr>
              <w:t>184</w:t>
            </w:r>
            <w:r w:rsidRPr="00C000B2">
              <w:t xml:space="preserve"> Daily levels of exposure are five times greater for Māori children, and three times greater for Pacific children, than those of other children. Boys also have more exposure to alcohol marketing than girls.</w:t>
            </w:r>
            <w:r w:rsidRPr="007D235D">
              <w:rPr>
                <w:vertAlign w:val="superscript"/>
              </w:rPr>
              <w:t>183</w:t>
            </w:r>
          </w:p>
        </w:tc>
      </w:tr>
    </w:tbl>
    <w:p w14:paraId="6365ADF2" w14:textId="77777777" w:rsidR="00990345" w:rsidRPr="00C000B2" w:rsidRDefault="00990345" w:rsidP="007D235D">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103"/>
        <w:gridCol w:w="2977"/>
      </w:tblGrid>
      <w:tr w:rsidR="0029210A" w:rsidRPr="00AB3864" w14:paraId="75F9AEFB" w14:textId="77777777" w:rsidTr="00AB11A2">
        <w:trPr>
          <w:cantSplit/>
        </w:trPr>
        <w:tc>
          <w:tcPr>
            <w:tcW w:w="8080" w:type="dxa"/>
            <w:gridSpan w:val="2"/>
            <w:tcBorders>
              <w:bottom w:val="nil"/>
            </w:tcBorders>
            <w:shd w:val="clear" w:color="auto" w:fill="D7EDE4"/>
          </w:tcPr>
          <w:p w14:paraId="4ECEFE2C" w14:textId="77777777" w:rsidR="0029210A" w:rsidRPr="00AB3864" w:rsidRDefault="0029210A" w:rsidP="00AB11A2">
            <w:pPr>
              <w:pStyle w:val="TableText"/>
              <w:rPr>
                <w:b/>
                <w:sz w:val="22"/>
                <w:szCs w:val="22"/>
              </w:rPr>
            </w:pPr>
            <w:r w:rsidRPr="00AB3864">
              <w:rPr>
                <w:b/>
                <w:sz w:val="22"/>
                <w:szCs w:val="22"/>
              </w:rPr>
              <w:t xml:space="preserve">Action: </w:t>
            </w:r>
            <w:r w:rsidR="007D235D" w:rsidRPr="007D235D">
              <w:rPr>
                <w:sz w:val="22"/>
                <w:szCs w:val="22"/>
              </w:rPr>
              <w:t>Enact and enforce comprehensive restrictions on volume and content of alcohol advertising and sponsorship across all environments</w:t>
            </w:r>
          </w:p>
        </w:tc>
      </w:tr>
      <w:tr w:rsidR="0029210A" w14:paraId="0EB6C670" w14:textId="77777777" w:rsidTr="007D235D">
        <w:trPr>
          <w:cantSplit/>
        </w:trPr>
        <w:tc>
          <w:tcPr>
            <w:tcW w:w="5103" w:type="dxa"/>
            <w:tcBorders>
              <w:top w:val="nil"/>
              <w:bottom w:val="single" w:sz="8" w:space="0" w:color="22B893"/>
              <w:right w:val="dashed" w:sz="4" w:space="0" w:color="22B893"/>
            </w:tcBorders>
          </w:tcPr>
          <w:p w14:paraId="06BABA97" w14:textId="77777777" w:rsidR="0029210A" w:rsidRPr="00AB3864" w:rsidRDefault="0029210A" w:rsidP="00AB11A2">
            <w:pPr>
              <w:pStyle w:val="TableText"/>
              <w:ind w:right="142"/>
              <w:rPr>
                <w:sz w:val="20"/>
              </w:rPr>
            </w:pPr>
            <w:r w:rsidRPr="00AB3864">
              <w:rPr>
                <w:sz w:val="20"/>
              </w:rPr>
              <w:t>What is the evidence?</w:t>
            </w:r>
          </w:p>
          <w:p w14:paraId="4494D972" w14:textId="77777777" w:rsidR="007D235D" w:rsidRPr="00C000B2" w:rsidRDefault="007D235D" w:rsidP="007D235D">
            <w:pPr>
              <w:pStyle w:val="TableText"/>
              <w:ind w:right="113"/>
            </w:pPr>
            <w:r w:rsidRPr="00C000B2">
              <w:t>Modelling studies indicate that alcohol advertising bans are effective at reducing alcohol-related harm.</w:t>
            </w:r>
            <w:r w:rsidRPr="007D235D">
              <w:rPr>
                <w:vertAlign w:val="superscript"/>
              </w:rPr>
              <w:t>145</w:t>
            </w:r>
            <w:r w:rsidRPr="00C000B2">
              <w:t xml:space="preserve"> Industry self-regulation of alcohol marketing is ineffective at protecting minors from exposure to alcohol advertising,</w:t>
            </w:r>
            <w:r w:rsidRPr="007D235D">
              <w:rPr>
                <w:vertAlign w:val="superscript"/>
              </w:rPr>
              <w:t>185,</w:t>
            </w:r>
            <w:r>
              <w:rPr>
                <w:vertAlign w:val="superscript"/>
              </w:rPr>
              <w:t> </w:t>
            </w:r>
            <w:r w:rsidRPr="007D235D">
              <w:rPr>
                <w:vertAlign w:val="superscript"/>
              </w:rPr>
              <w:t>186</w:t>
            </w:r>
            <w:r w:rsidRPr="00C000B2">
              <w:t xml:space="preserve"> instead, it is likely that establishing an independent authority to regulate alcohol advertising and sponsorship will be required.</w:t>
            </w:r>
          </w:p>
          <w:p w14:paraId="1D66B2CC" w14:textId="77777777" w:rsidR="007D235D" w:rsidRPr="00C000B2" w:rsidRDefault="007D235D" w:rsidP="007D235D">
            <w:pPr>
              <w:pStyle w:val="TableText"/>
              <w:ind w:right="113"/>
            </w:pPr>
            <w:r w:rsidRPr="00C000B2">
              <w:t>Based on 2016 WHO reporting, the proportion of countries with a partial restriction or stronger on beer advertising is, by media types: national television (81</w:t>
            </w:r>
            <w:r>
              <w:t> </w:t>
            </w:r>
            <w:r w:rsidRPr="00C000B2">
              <w:t>percent of countries), private television (78</w:t>
            </w:r>
            <w:r>
              <w:t> </w:t>
            </w:r>
            <w:r w:rsidRPr="00C000B2">
              <w:t>percent), national radio (75</w:t>
            </w:r>
            <w:r>
              <w:t> </w:t>
            </w:r>
            <w:r w:rsidRPr="00C000B2">
              <w:t>percent), local radio (77</w:t>
            </w:r>
            <w:r>
              <w:t> </w:t>
            </w:r>
            <w:r w:rsidRPr="00C000B2">
              <w:t>percent), print (57 percent), billboards (52 percent), point of sale (47 percent), cinema (52</w:t>
            </w:r>
            <w:r>
              <w:t> </w:t>
            </w:r>
            <w:r w:rsidRPr="00C000B2">
              <w:t>p</w:t>
            </w:r>
            <w:r>
              <w:t>e</w:t>
            </w:r>
            <w:r w:rsidRPr="00C000B2">
              <w:t>rcent), internet (37 percent), and social media (35</w:t>
            </w:r>
            <w:r>
              <w:t> </w:t>
            </w:r>
            <w:r w:rsidRPr="00C000B2">
              <w:t>percent).</w:t>
            </w:r>
            <w:r w:rsidRPr="007D235D">
              <w:rPr>
                <w:vertAlign w:val="superscript"/>
              </w:rPr>
              <w:t>187</w:t>
            </w:r>
          </w:p>
          <w:p w14:paraId="07E6016C" w14:textId="77777777" w:rsidR="007D235D" w:rsidRPr="00C000B2" w:rsidRDefault="007D235D" w:rsidP="007D235D">
            <w:pPr>
              <w:pStyle w:val="TableText"/>
              <w:ind w:right="113"/>
            </w:pPr>
            <w:r w:rsidRPr="00C000B2">
              <w:t>Finland has alcohol advertising legislation which takes an explicit focus on reducing harm for young people. The legislation places restrictions on the time and placement of alcohol ads by banning advertising on television during certain hours and in cinemas. Finland’s social media alcohol advertisement ban was one of the first in the world, and includes provisions that prevent brands from using user-generated content or product content explicitly intended for sharing (</w:t>
            </w:r>
            <w:proofErr w:type="spellStart"/>
            <w:r w:rsidRPr="00C000B2">
              <w:t>eg</w:t>
            </w:r>
            <w:proofErr w:type="spellEnd"/>
            <w:r w:rsidRPr="00C000B2">
              <w:t>, pictures, reviews, videos).</w:t>
            </w:r>
            <w:r w:rsidRPr="007D235D">
              <w:rPr>
                <w:vertAlign w:val="superscript"/>
              </w:rPr>
              <w:t>187</w:t>
            </w:r>
          </w:p>
          <w:p w14:paraId="1DD14063" w14:textId="77777777" w:rsidR="007D235D" w:rsidRPr="00C000B2" w:rsidRDefault="007D235D" w:rsidP="007D235D">
            <w:pPr>
              <w:pStyle w:val="TableText"/>
              <w:ind w:right="113"/>
            </w:pPr>
            <w:r w:rsidRPr="00C000B2">
              <w:t>France and Norway prohibit sports sponsorship by alcohol companies and more recently Ireland has banned alcohol advertising on sporting grounds and alcohol sponsorship of certain events.</w:t>
            </w:r>
            <w:r w:rsidRPr="007D235D">
              <w:rPr>
                <w:vertAlign w:val="superscript"/>
              </w:rPr>
              <w:t>188</w:t>
            </w:r>
          </w:p>
          <w:p w14:paraId="7F9FD99F" w14:textId="77777777" w:rsidR="0029210A" w:rsidRDefault="007D235D" w:rsidP="007D235D">
            <w:pPr>
              <w:pStyle w:val="TableText"/>
              <w:ind w:right="113"/>
            </w:pPr>
            <w:r w:rsidRPr="00C000B2">
              <w:t>Eighty percent of people in Aotearoa support increasing restrictions on alcohol advertising, and 68</w:t>
            </w:r>
            <w:r>
              <w:t> </w:t>
            </w:r>
            <w:r w:rsidRPr="00C000B2">
              <w:t>percent support banning alcohol sponsorship of events attended by under 18-year-olds.</w:t>
            </w:r>
            <w:r w:rsidRPr="007D235D">
              <w:rPr>
                <w:vertAlign w:val="superscript"/>
              </w:rPr>
              <w:t>176</w:t>
            </w:r>
          </w:p>
        </w:tc>
        <w:tc>
          <w:tcPr>
            <w:tcW w:w="2977" w:type="dxa"/>
            <w:tcBorders>
              <w:top w:val="nil"/>
              <w:left w:val="dashed" w:sz="4" w:space="0" w:color="22B893"/>
              <w:bottom w:val="single" w:sz="8" w:space="0" w:color="22B893"/>
            </w:tcBorders>
          </w:tcPr>
          <w:p w14:paraId="326CA9CA" w14:textId="77777777" w:rsidR="0029210A" w:rsidRPr="00AB3864" w:rsidRDefault="0029210A" w:rsidP="00AB11A2">
            <w:pPr>
              <w:pStyle w:val="TableText"/>
              <w:ind w:left="113"/>
              <w:rPr>
                <w:sz w:val="20"/>
              </w:rPr>
            </w:pPr>
            <w:r w:rsidRPr="00AB3864">
              <w:rPr>
                <w:sz w:val="20"/>
              </w:rPr>
              <w:t>What is Aotearoa doing currently?</w:t>
            </w:r>
          </w:p>
          <w:p w14:paraId="0DBA7C22" w14:textId="77777777" w:rsidR="007D235D" w:rsidRPr="00C000B2" w:rsidRDefault="007D235D" w:rsidP="007D235D">
            <w:pPr>
              <w:pStyle w:val="TableText"/>
              <w:ind w:left="113"/>
            </w:pPr>
            <w:r w:rsidRPr="00C000B2">
              <w:t>The Sale and Supply of Alcohol Act 2012 prohibits irresponsible promotion of alcohol such as encouraging people to drink excessive amounts of alcohol or promoting alcohol aimed at or appealing to minors.</w:t>
            </w:r>
          </w:p>
          <w:p w14:paraId="4638DE59" w14:textId="77777777" w:rsidR="0029210A" w:rsidRPr="007D235D" w:rsidRDefault="007D235D" w:rsidP="007D235D">
            <w:pPr>
              <w:pStyle w:val="TableText"/>
              <w:ind w:left="113"/>
              <w:rPr>
                <w:spacing w:val="-2"/>
              </w:rPr>
            </w:pPr>
            <w:r w:rsidRPr="007D235D">
              <w:rPr>
                <w:spacing w:val="-2"/>
              </w:rPr>
              <w:t xml:space="preserve">Aotearoa has a voluntary code for alcohol advertising and promotion, which is administered by the Advertising Standards Authority, a self-regulatory body of advertisers, </w:t>
            </w:r>
            <w:proofErr w:type="gramStart"/>
            <w:r w:rsidRPr="007D235D">
              <w:rPr>
                <w:spacing w:val="-2"/>
              </w:rPr>
              <w:t>agencies</w:t>
            </w:r>
            <w:proofErr w:type="gramEnd"/>
            <w:r w:rsidRPr="007D235D">
              <w:rPr>
                <w:spacing w:val="-2"/>
              </w:rPr>
              <w:t xml:space="preserve"> and the media.</w:t>
            </w:r>
            <w:r w:rsidRPr="007D235D">
              <w:rPr>
                <w:spacing w:val="-2"/>
                <w:vertAlign w:val="superscript"/>
              </w:rPr>
              <w:t>189</w:t>
            </w:r>
            <w:r w:rsidRPr="007D235D">
              <w:rPr>
                <w:spacing w:val="-2"/>
              </w:rPr>
              <w:t xml:space="preserve"> Self-regulation typically relies on the industry developing, monitoring and enforcing its codes of good marketing practice.</w:t>
            </w:r>
            <w:r w:rsidRPr="007D235D">
              <w:rPr>
                <w:spacing w:val="-2"/>
                <w:vertAlign w:val="superscript"/>
              </w:rPr>
              <w:t>186</w:t>
            </w:r>
            <w:r w:rsidRPr="007D235D">
              <w:rPr>
                <w:spacing w:val="-2"/>
              </w:rPr>
              <w:t xml:space="preserve"> The code permits alcohol advertising (including sponsorship) where children and youth make up less than 20 percent of the audience. It has very few restrictions on the amount of alcohol advertising and includes no enforceable penalties for breaches of the code.</w:t>
            </w:r>
            <w:r w:rsidRPr="007D235D">
              <w:rPr>
                <w:spacing w:val="-2"/>
                <w:vertAlign w:val="superscript"/>
              </w:rPr>
              <w:t>131</w:t>
            </w:r>
            <w:r w:rsidRPr="007D235D">
              <w:rPr>
                <w:spacing w:val="-2"/>
              </w:rPr>
              <w:t xml:space="preserve"> Newer technologies and marketing techniques, such as advertising on social and digital media, also highlight the inadequacy of a voluntary code.</w:t>
            </w:r>
            <w:r w:rsidRPr="007D235D">
              <w:rPr>
                <w:spacing w:val="-2"/>
                <w:vertAlign w:val="superscript"/>
              </w:rPr>
              <w:t>190</w:t>
            </w:r>
          </w:p>
        </w:tc>
      </w:tr>
    </w:tbl>
    <w:p w14:paraId="14E782D1" w14:textId="77777777" w:rsidR="0029210A" w:rsidRPr="007D235D" w:rsidRDefault="0029210A" w:rsidP="007D235D">
      <w:pPr>
        <w:rPr>
          <w:sz w:val="2"/>
          <w:szCs w:val="2"/>
        </w:rP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0788121C" w14:textId="77777777" w:rsidTr="00351028">
        <w:trPr>
          <w:cantSplit/>
        </w:trPr>
        <w:tc>
          <w:tcPr>
            <w:tcW w:w="426" w:type="dxa"/>
            <w:tcBorders>
              <w:right w:val="single" w:sz="48" w:space="0" w:color="FFFFFF" w:themeColor="background1"/>
            </w:tcBorders>
            <w:shd w:val="clear" w:color="auto" w:fill="22B893"/>
          </w:tcPr>
          <w:p w14:paraId="10925462" w14:textId="77777777" w:rsidR="00990345" w:rsidRDefault="00EF27EC" w:rsidP="00351028">
            <w:r w:rsidRPr="00C000B2">
              <w:rPr>
                <w:noProof/>
                <w:lang w:eastAsia="en-NZ"/>
              </w:rPr>
              <w:lastRenderedPageBreak/>
              <mc:AlternateContent>
                <mc:Choice Requires="wps">
                  <w:drawing>
                    <wp:anchor distT="0" distB="0" distL="114300" distR="114300" simplePos="0" relativeHeight="252063744" behindDoc="1" locked="0" layoutInCell="1" allowOverlap="1" wp14:anchorId="4F0F06E4" wp14:editId="51FFFAB9">
                      <wp:simplePos x="0" y="0"/>
                      <wp:positionH relativeFrom="page">
                        <wp:posOffset>4376420</wp:posOffset>
                      </wp:positionH>
                      <wp:positionV relativeFrom="page">
                        <wp:posOffset>6667500</wp:posOffset>
                      </wp:positionV>
                      <wp:extent cx="12700" cy="12700"/>
                      <wp:effectExtent l="4445" t="0" r="1905" b="6350"/>
                      <wp:wrapNone/>
                      <wp:docPr id="931" name="Freeform 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892 6892"/>
                                  <a:gd name="T1" fmla="*/ T0 w 20"/>
                                  <a:gd name="T2" fmla="+- 0 10510 10500"/>
                                  <a:gd name="T3" fmla="*/ 10510 h 20"/>
                                  <a:gd name="T4" fmla="+- 0 6895 6892"/>
                                  <a:gd name="T5" fmla="*/ T4 w 20"/>
                                  <a:gd name="T6" fmla="+- 0 10503 10500"/>
                                  <a:gd name="T7" fmla="*/ 10503 h 20"/>
                                  <a:gd name="T8" fmla="+- 0 6902 6892"/>
                                  <a:gd name="T9" fmla="*/ T8 w 20"/>
                                  <a:gd name="T10" fmla="+- 0 10500 10500"/>
                                  <a:gd name="T11" fmla="*/ 10500 h 20"/>
                                  <a:gd name="T12" fmla="+- 0 6909 6892"/>
                                  <a:gd name="T13" fmla="*/ T12 w 20"/>
                                  <a:gd name="T14" fmla="+- 0 10503 10500"/>
                                  <a:gd name="T15" fmla="*/ 10503 h 20"/>
                                  <a:gd name="T16" fmla="+- 0 6912 6892"/>
                                  <a:gd name="T17" fmla="*/ T16 w 20"/>
                                  <a:gd name="T18" fmla="+- 0 10510 10500"/>
                                  <a:gd name="T19" fmla="*/ 10510 h 20"/>
                                  <a:gd name="T20" fmla="+- 0 6909 6892"/>
                                  <a:gd name="T21" fmla="*/ T20 w 20"/>
                                  <a:gd name="T22" fmla="+- 0 10517 10500"/>
                                  <a:gd name="T23" fmla="*/ 10517 h 20"/>
                                  <a:gd name="T24" fmla="+- 0 6902 6892"/>
                                  <a:gd name="T25" fmla="*/ T24 w 20"/>
                                  <a:gd name="T26" fmla="+- 0 10520 10500"/>
                                  <a:gd name="T27" fmla="*/ 10520 h 20"/>
                                  <a:gd name="T28" fmla="+- 0 6895 6892"/>
                                  <a:gd name="T29" fmla="*/ T28 w 20"/>
                                  <a:gd name="T30" fmla="+- 0 10517 10500"/>
                                  <a:gd name="T31" fmla="*/ 10517 h 20"/>
                                  <a:gd name="T32" fmla="+- 0 6892 6892"/>
                                  <a:gd name="T33" fmla="*/ T32 w 20"/>
                                  <a:gd name="T34" fmla="+- 0 10510 10500"/>
                                  <a:gd name="T35" fmla="*/ 1051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5D56" id="Freeform 931" o:spid="_x0000_s1026" alt="&quot;&quot;" style="position:absolute;margin-left:344.6pt;margin-top:525pt;width:1pt;height:1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" path="m,10l3,3,10,r7,3l20,10r-3,7l10,20,3,17,,10xe" fillcolor="#22b893" stroked="f">
                      <v:path arrowok="t" o:connecttype="custom" o:connectlocs="0,6673850;1905,6669405;6350,6667500;10795,6669405;12700,6673850;10795,6678295;6350,6680200;1905,6678295;0,6673850"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064768" behindDoc="1" locked="0" layoutInCell="1" allowOverlap="1" wp14:anchorId="1B73EBA1" wp14:editId="64425B61">
                      <wp:simplePos x="0" y="0"/>
                      <wp:positionH relativeFrom="page">
                        <wp:posOffset>4376420</wp:posOffset>
                      </wp:positionH>
                      <wp:positionV relativeFrom="page">
                        <wp:posOffset>1301750</wp:posOffset>
                      </wp:positionV>
                      <wp:extent cx="12700" cy="12700"/>
                      <wp:effectExtent l="4445" t="6350" r="1905" b="0"/>
                      <wp:wrapNone/>
                      <wp:docPr id="930" name="Freeform 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892 6892"/>
                                  <a:gd name="T1" fmla="*/ T0 w 20"/>
                                  <a:gd name="T2" fmla="+- 0 2060 2050"/>
                                  <a:gd name="T3" fmla="*/ 2060 h 20"/>
                                  <a:gd name="T4" fmla="+- 0 6895 6892"/>
                                  <a:gd name="T5" fmla="*/ T4 w 20"/>
                                  <a:gd name="T6" fmla="+- 0 2053 2050"/>
                                  <a:gd name="T7" fmla="*/ 2053 h 20"/>
                                  <a:gd name="T8" fmla="+- 0 6902 6892"/>
                                  <a:gd name="T9" fmla="*/ T8 w 20"/>
                                  <a:gd name="T10" fmla="+- 0 2050 2050"/>
                                  <a:gd name="T11" fmla="*/ 2050 h 20"/>
                                  <a:gd name="T12" fmla="+- 0 6909 6892"/>
                                  <a:gd name="T13" fmla="*/ T12 w 20"/>
                                  <a:gd name="T14" fmla="+- 0 2053 2050"/>
                                  <a:gd name="T15" fmla="*/ 2053 h 20"/>
                                  <a:gd name="T16" fmla="+- 0 6912 6892"/>
                                  <a:gd name="T17" fmla="*/ T16 w 20"/>
                                  <a:gd name="T18" fmla="+- 0 2060 2050"/>
                                  <a:gd name="T19" fmla="*/ 2060 h 20"/>
                                  <a:gd name="T20" fmla="+- 0 6909 6892"/>
                                  <a:gd name="T21" fmla="*/ T20 w 20"/>
                                  <a:gd name="T22" fmla="+- 0 2067 2050"/>
                                  <a:gd name="T23" fmla="*/ 2067 h 20"/>
                                  <a:gd name="T24" fmla="+- 0 6902 6892"/>
                                  <a:gd name="T25" fmla="*/ T24 w 20"/>
                                  <a:gd name="T26" fmla="+- 0 2070 2050"/>
                                  <a:gd name="T27" fmla="*/ 2070 h 20"/>
                                  <a:gd name="T28" fmla="+- 0 6895 6892"/>
                                  <a:gd name="T29" fmla="*/ T28 w 20"/>
                                  <a:gd name="T30" fmla="+- 0 2067 2050"/>
                                  <a:gd name="T31" fmla="*/ 2067 h 20"/>
                                  <a:gd name="T32" fmla="+- 0 6892 6892"/>
                                  <a:gd name="T33" fmla="*/ T32 w 20"/>
                                  <a:gd name="T34" fmla="+- 0 2060 2050"/>
                                  <a:gd name="T35" fmla="*/ 206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7F47D" id="Freeform 930" o:spid="_x0000_s1026" alt="&quot;&quot;" style="position:absolute;margin-left:344.6pt;margin-top:102.5pt;width:1pt;height:1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" path="m,10l3,3,10,r7,3l20,10r-3,7l10,20,3,17,,10xe" fillcolor="#22b893" stroked="f">
                      <v:path arrowok="t" o:connecttype="custom" o:connectlocs="0,1308100;1905,1303655;6350,1301750;10795,1303655;12700,1308100;10795,1312545;6350,1314450;1905,1312545;0,1308100" o:connectangles="0,0,0,0,0,0,0,0,0"/>
                      <w10:wrap anchorx="page" anchory="page"/>
                    </v:shape>
                  </w:pict>
                </mc:Fallback>
              </mc:AlternateContent>
            </w:r>
          </w:p>
        </w:tc>
        <w:tc>
          <w:tcPr>
            <w:tcW w:w="7371" w:type="dxa"/>
            <w:gridSpan w:val="2"/>
          </w:tcPr>
          <w:p w14:paraId="58BBFFE1" w14:textId="77777777" w:rsidR="00990345" w:rsidRPr="001E3E81" w:rsidRDefault="00990345" w:rsidP="00351028">
            <w:pPr>
              <w:pStyle w:val="TableText"/>
              <w:rPr>
                <w:sz w:val="22"/>
                <w:szCs w:val="22"/>
              </w:rPr>
            </w:pPr>
            <w:r w:rsidRPr="0029210A">
              <w:rPr>
                <w:b/>
                <w:sz w:val="22"/>
                <w:szCs w:val="22"/>
              </w:rPr>
              <w:t xml:space="preserve">Focus area: </w:t>
            </w:r>
            <w:r w:rsidR="001E3E81" w:rsidRPr="001E3E81">
              <w:rPr>
                <w:sz w:val="22"/>
                <w:szCs w:val="22"/>
              </w:rPr>
              <w:t>Support health services to reduce harm from alcohol</w:t>
            </w:r>
          </w:p>
          <w:p w14:paraId="3F543122" w14:textId="77777777" w:rsidR="001E3E81" w:rsidRPr="001E3E81" w:rsidRDefault="001E3E81" w:rsidP="001E3E81">
            <w:pPr>
              <w:pStyle w:val="TableText"/>
              <w:rPr>
                <w:sz w:val="22"/>
                <w:szCs w:val="22"/>
              </w:rPr>
            </w:pPr>
            <w:r w:rsidRPr="001E3E81">
              <w:rPr>
                <w:sz w:val="22"/>
                <w:szCs w:val="22"/>
              </w:rPr>
              <w:t>What do we know about the prevalence of harmful drinking patterns in Aotearoa?</w:t>
            </w:r>
          </w:p>
          <w:p w14:paraId="1BEDA964" w14:textId="77777777" w:rsidR="00990345" w:rsidRDefault="001E3E81" w:rsidP="001E3E81">
            <w:pPr>
              <w:pStyle w:val="TableText"/>
            </w:pPr>
            <w:r w:rsidRPr="00C000B2">
              <w:t>Of those who drink alcohol in Aotearoa, 26 percent are hazardous drinkers, which means their drinking patterns could put themselves and others at risk of harm.</w:t>
            </w:r>
            <w:r w:rsidRPr="001E3E81">
              <w:rPr>
                <w:vertAlign w:val="superscript"/>
              </w:rPr>
              <w:t>49</w:t>
            </w:r>
          </w:p>
        </w:tc>
      </w:tr>
      <w:tr w:rsidR="00990345" w14:paraId="68EDE397" w14:textId="77777777" w:rsidTr="00351028">
        <w:trPr>
          <w:cantSplit/>
        </w:trPr>
        <w:tc>
          <w:tcPr>
            <w:tcW w:w="426" w:type="dxa"/>
            <w:tcBorders>
              <w:right w:val="single" w:sz="48" w:space="0" w:color="FFFFFF" w:themeColor="background1"/>
            </w:tcBorders>
            <w:shd w:val="clear" w:color="auto" w:fill="22B893"/>
          </w:tcPr>
          <w:p w14:paraId="0A2B792B" w14:textId="77777777" w:rsidR="00990345" w:rsidRDefault="00990345" w:rsidP="00351028"/>
        </w:tc>
        <w:tc>
          <w:tcPr>
            <w:tcW w:w="304" w:type="dxa"/>
            <w:shd w:val="clear" w:color="auto" w:fill="F37973"/>
          </w:tcPr>
          <w:p w14:paraId="40D4148D" w14:textId="77777777" w:rsidR="00990345" w:rsidRPr="0029210A" w:rsidRDefault="00990345" w:rsidP="00351028">
            <w:pPr>
              <w:pStyle w:val="TableText"/>
            </w:pPr>
          </w:p>
        </w:tc>
        <w:tc>
          <w:tcPr>
            <w:tcW w:w="7067" w:type="dxa"/>
          </w:tcPr>
          <w:p w14:paraId="23254C53" w14:textId="77777777" w:rsidR="00990345" w:rsidRPr="001E3E81" w:rsidRDefault="001E3E81" w:rsidP="001E3E81">
            <w:pPr>
              <w:pStyle w:val="TableText"/>
              <w:ind w:left="113"/>
            </w:pPr>
            <w:r w:rsidRPr="00C000B2">
              <w:t>The highest rates of hazardous drinking (among drinkers) are in men, young adults aged 18–24 years, Māori adults (43 percent), Pacific adults (38 percent) and those living in the most deprived areas. Māori men were 1.6 times and Māori women 2.2</w:t>
            </w:r>
            <w:r>
              <w:t> </w:t>
            </w:r>
            <w:r w:rsidRPr="00C000B2">
              <w:t xml:space="preserve">times more likely to drink hazardously than their non-Māori counterparts. Rates of hazardous drinking have not decreased significantly since 2011/2012 for any age, </w:t>
            </w:r>
            <w:proofErr w:type="gramStart"/>
            <w:r w:rsidRPr="00C000B2">
              <w:t>gender</w:t>
            </w:r>
            <w:proofErr w:type="gramEnd"/>
            <w:r w:rsidRPr="00C000B2">
              <w:t xml:space="preserve"> or ethnic group.</w:t>
            </w:r>
            <w:r>
              <w:rPr>
                <w:vertAlign w:val="superscript"/>
              </w:rPr>
              <w:t>49</w:t>
            </w:r>
          </w:p>
        </w:tc>
      </w:tr>
    </w:tbl>
    <w:p w14:paraId="09411716" w14:textId="77777777" w:rsidR="00EF27EC" w:rsidRDefault="00EF27EC" w:rsidP="001E3E81">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3402"/>
      </w:tblGrid>
      <w:tr w:rsidR="0029210A" w:rsidRPr="00AB3864" w14:paraId="4D512312" w14:textId="77777777" w:rsidTr="00AB11A2">
        <w:trPr>
          <w:cantSplit/>
        </w:trPr>
        <w:tc>
          <w:tcPr>
            <w:tcW w:w="8080" w:type="dxa"/>
            <w:gridSpan w:val="2"/>
            <w:tcBorders>
              <w:bottom w:val="nil"/>
            </w:tcBorders>
            <w:shd w:val="clear" w:color="auto" w:fill="D7EDE4"/>
          </w:tcPr>
          <w:p w14:paraId="211F6ACE" w14:textId="77777777" w:rsidR="0029210A" w:rsidRPr="00AB3864" w:rsidRDefault="0029210A" w:rsidP="00AB11A2">
            <w:pPr>
              <w:pStyle w:val="TableText"/>
              <w:rPr>
                <w:b/>
                <w:sz w:val="22"/>
                <w:szCs w:val="22"/>
              </w:rPr>
            </w:pPr>
            <w:r w:rsidRPr="00AB3864">
              <w:rPr>
                <w:b/>
                <w:sz w:val="22"/>
                <w:szCs w:val="22"/>
              </w:rPr>
              <w:t xml:space="preserve">Action: </w:t>
            </w:r>
            <w:r w:rsidR="001E3E81" w:rsidRPr="001E3E81">
              <w:rPr>
                <w:sz w:val="22"/>
                <w:szCs w:val="22"/>
              </w:rPr>
              <w:t>Strengthen screening and brief interventions to reduce alcohol consumption</w:t>
            </w:r>
          </w:p>
        </w:tc>
      </w:tr>
      <w:tr w:rsidR="0029210A" w14:paraId="7537EA05" w14:textId="77777777" w:rsidTr="00AB11A2">
        <w:trPr>
          <w:cantSplit/>
        </w:trPr>
        <w:tc>
          <w:tcPr>
            <w:tcW w:w="4678" w:type="dxa"/>
            <w:tcBorders>
              <w:top w:val="nil"/>
              <w:bottom w:val="single" w:sz="8" w:space="0" w:color="22B893"/>
              <w:right w:val="dashed" w:sz="4" w:space="0" w:color="22B893"/>
            </w:tcBorders>
          </w:tcPr>
          <w:p w14:paraId="3CBB5942" w14:textId="77777777" w:rsidR="0029210A" w:rsidRPr="00AB3864" w:rsidRDefault="0029210A" w:rsidP="00AB11A2">
            <w:pPr>
              <w:pStyle w:val="TableText"/>
              <w:ind w:right="142"/>
              <w:rPr>
                <w:sz w:val="20"/>
              </w:rPr>
            </w:pPr>
            <w:r w:rsidRPr="00AB3864">
              <w:rPr>
                <w:sz w:val="20"/>
              </w:rPr>
              <w:t>What is the evidence?</w:t>
            </w:r>
          </w:p>
          <w:p w14:paraId="7A5C0C25" w14:textId="77777777" w:rsidR="001E3E81" w:rsidRPr="00C000B2" w:rsidRDefault="001E3E81" w:rsidP="001E3E81">
            <w:pPr>
              <w:pStyle w:val="TableText"/>
              <w:ind w:right="113"/>
            </w:pPr>
            <w:r w:rsidRPr="00C000B2">
              <w:t>Alcohol screening and brief interventions are typically done opportunistically to identify and treat harmful drinking. A health professional uses an initial screening tool (often a questionnaire) and if they identify hazardous drinking, they follow up with a brief structured intervention (usually in the form of advice) and/or referral to appropriate programmes.</w:t>
            </w:r>
            <w:r w:rsidRPr="001E3E81">
              <w:rPr>
                <w:vertAlign w:val="superscript"/>
              </w:rPr>
              <w:t>191</w:t>
            </w:r>
          </w:p>
          <w:p w14:paraId="384AD91C" w14:textId="77777777" w:rsidR="001E3E81" w:rsidRPr="00C000B2" w:rsidRDefault="001E3E81" w:rsidP="001E3E81">
            <w:pPr>
              <w:pStyle w:val="TableText"/>
              <w:ind w:right="113"/>
            </w:pPr>
            <w:r w:rsidRPr="00C000B2">
              <w:t>Brief interventions are effective and cost-effective at reducing alcohol consumption in those with hazardous or harmful drinking patterns.</w:t>
            </w:r>
            <w:r w:rsidRPr="001E3E81">
              <w:rPr>
                <w:vertAlign w:val="superscript"/>
              </w:rPr>
              <w:t>142,</w:t>
            </w:r>
            <w:r>
              <w:rPr>
                <w:vertAlign w:val="superscript"/>
              </w:rPr>
              <w:t> </w:t>
            </w:r>
            <w:r w:rsidRPr="001E3E81">
              <w:rPr>
                <w:vertAlign w:val="superscript"/>
              </w:rPr>
              <w:t>143,</w:t>
            </w:r>
            <w:r>
              <w:rPr>
                <w:vertAlign w:val="superscript"/>
              </w:rPr>
              <w:t> </w:t>
            </w:r>
            <w:r w:rsidRPr="001E3E81">
              <w:rPr>
                <w:vertAlign w:val="superscript"/>
              </w:rPr>
              <w:t>145,</w:t>
            </w:r>
            <w:r>
              <w:rPr>
                <w:vertAlign w:val="superscript"/>
              </w:rPr>
              <w:t> </w:t>
            </w:r>
            <w:r w:rsidRPr="001E3E81">
              <w:rPr>
                <w:vertAlign w:val="superscript"/>
              </w:rPr>
              <w:t>191,</w:t>
            </w:r>
            <w:r>
              <w:rPr>
                <w:vertAlign w:val="superscript"/>
              </w:rPr>
              <w:t> </w:t>
            </w:r>
            <w:r w:rsidRPr="001E3E81">
              <w:rPr>
                <w:vertAlign w:val="superscript"/>
              </w:rPr>
              <w:t>192</w:t>
            </w:r>
          </w:p>
          <w:p w14:paraId="2A77CFC7" w14:textId="77777777" w:rsidR="0029210A" w:rsidRDefault="001E3E81" w:rsidP="001E3E81">
            <w:pPr>
              <w:pStyle w:val="TableText"/>
              <w:ind w:right="113"/>
            </w:pPr>
            <w:r w:rsidRPr="00C000B2">
              <w:t>A survey in Aotearoa found that 60 percent of respondents supported requiring health professionals to regularly ask patients about their drinking.</w:t>
            </w:r>
            <w:r w:rsidRPr="001E3E81">
              <w:rPr>
                <w:vertAlign w:val="superscript"/>
              </w:rPr>
              <w:t>170</w:t>
            </w:r>
          </w:p>
        </w:tc>
        <w:tc>
          <w:tcPr>
            <w:tcW w:w="3402" w:type="dxa"/>
            <w:tcBorders>
              <w:top w:val="nil"/>
              <w:left w:val="dashed" w:sz="4" w:space="0" w:color="22B893"/>
              <w:bottom w:val="single" w:sz="8" w:space="0" w:color="22B893"/>
            </w:tcBorders>
          </w:tcPr>
          <w:p w14:paraId="516ADF82" w14:textId="77777777" w:rsidR="0029210A" w:rsidRPr="00AB3864" w:rsidRDefault="0029210A" w:rsidP="00AB11A2">
            <w:pPr>
              <w:pStyle w:val="TableText"/>
              <w:ind w:left="113"/>
              <w:rPr>
                <w:sz w:val="20"/>
              </w:rPr>
            </w:pPr>
            <w:r w:rsidRPr="00AB3864">
              <w:rPr>
                <w:sz w:val="20"/>
              </w:rPr>
              <w:t>What is Aotearoa doing currently?</w:t>
            </w:r>
          </w:p>
          <w:p w14:paraId="0C0D4C61" w14:textId="77777777" w:rsidR="0029210A" w:rsidRDefault="001E3E81" w:rsidP="00AB11A2">
            <w:pPr>
              <w:pStyle w:val="TableText"/>
              <w:ind w:left="113"/>
            </w:pPr>
            <w:r w:rsidRPr="00C000B2">
              <w:t>It is generally recommended that health services across primary, secondary and community care incorporate screening and brief interventions for harmful drinking. For example, primary care guidelines recommend asking all patients about their alcohol use and offering brief interventions if screening identifies medium- to high-risk drinking behaviours.</w:t>
            </w:r>
            <w:r w:rsidRPr="001E3E81">
              <w:rPr>
                <w:vertAlign w:val="superscript"/>
              </w:rPr>
              <w:t>193</w:t>
            </w:r>
            <w:r w:rsidRPr="00C000B2">
              <w:t xml:space="preserve"> However, it is unclear</w:t>
            </w:r>
            <w:r>
              <w:t xml:space="preserve"> </w:t>
            </w:r>
            <w:r w:rsidRPr="00C000B2">
              <w:t>how well and how equitably primary care and other health services are implementing these guidelines.</w:t>
            </w:r>
          </w:p>
        </w:tc>
      </w:tr>
    </w:tbl>
    <w:p w14:paraId="7D19B846" w14:textId="77777777" w:rsidR="0029210A" w:rsidRPr="00C000B2" w:rsidRDefault="0029210A" w:rsidP="001E3E81"/>
    <w:p w14:paraId="5EBF5C60" w14:textId="77777777" w:rsidR="00EF27EC" w:rsidRPr="00C000B2" w:rsidRDefault="00EF27EC" w:rsidP="00295A02">
      <w:r w:rsidRPr="00C000B2">
        <w:rPr>
          <w:noProof/>
          <w:lang w:eastAsia="en-NZ"/>
        </w:rPr>
        <mc:AlternateContent>
          <mc:Choice Requires="wps">
            <w:drawing>
              <wp:anchor distT="0" distB="0" distL="114300" distR="114300" simplePos="0" relativeHeight="252065792" behindDoc="1" locked="0" layoutInCell="1" allowOverlap="1" wp14:anchorId="699FFA49" wp14:editId="60B87FB6">
                <wp:simplePos x="0" y="0"/>
                <wp:positionH relativeFrom="page">
                  <wp:posOffset>4011295</wp:posOffset>
                </wp:positionH>
                <wp:positionV relativeFrom="paragraph">
                  <wp:posOffset>-24765</wp:posOffset>
                </wp:positionV>
                <wp:extent cx="12700" cy="12700"/>
                <wp:effectExtent l="1270" t="1905" r="5080" b="4445"/>
                <wp:wrapNone/>
                <wp:docPr id="926" name="Freeform 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317 6317"/>
                            <a:gd name="T1" fmla="*/ T0 w 20"/>
                            <a:gd name="T2" fmla="+- 0 -29 -39"/>
                            <a:gd name="T3" fmla="*/ -29 h 20"/>
                            <a:gd name="T4" fmla="+- 0 6320 6317"/>
                            <a:gd name="T5" fmla="*/ T4 w 20"/>
                            <a:gd name="T6" fmla="+- 0 -36 -39"/>
                            <a:gd name="T7" fmla="*/ -36 h 20"/>
                            <a:gd name="T8" fmla="+- 0 6327 6317"/>
                            <a:gd name="T9" fmla="*/ T8 w 20"/>
                            <a:gd name="T10" fmla="+- 0 -39 -39"/>
                            <a:gd name="T11" fmla="*/ -39 h 20"/>
                            <a:gd name="T12" fmla="+- 0 6334 6317"/>
                            <a:gd name="T13" fmla="*/ T12 w 20"/>
                            <a:gd name="T14" fmla="+- 0 -36 -39"/>
                            <a:gd name="T15" fmla="*/ -36 h 20"/>
                            <a:gd name="T16" fmla="+- 0 6337 6317"/>
                            <a:gd name="T17" fmla="*/ T16 w 20"/>
                            <a:gd name="T18" fmla="+- 0 -29 -39"/>
                            <a:gd name="T19" fmla="*/ -29 h 20"/>
                            <a:gd name="T20" fmla="+- 0 6334 6317"/>
                            <a:gd name="T21" fmla="*/ T20 w 20"/>
                            <a:gd name="T22" fmla="+- 0 -22 -39"/>
                            <a:gd name="T23" fmla="*/ -22 h 20"/>
                            <a:gd name="T24" fmla="+- 0 6327 6317"/>
                            <a:gd name="T25" fmla="*/ T24 w 20"/>
                            <a:gd name="T26" fmla="+- 0 -19 -39"/>
                            <a:gd name="T27" fmla="*/ -19 h 20"/>
                            <a:gd name="T28" fmla="+- 0 6320 6317"/>
                            <a:gd name="T29" fmla="*/ T28 w 20"/>
                            <a:gd name="T30" fmla="+- 0 -22 -39"/>
                            <a:gd name="T31" fmla="*/ -22 h 20"/>
                            <a:gd name="T32" fmla="+- 0 6317 6317"/>
                            <a:gd name="T33" fmla="*/ T32 w 20"/>
                            <a:gd name="T34" fmla="+- 0 -29 -39"/>
                            <a:gd name="T35" fmla="*/ -2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B47A" id="Freeform 926" o:spid="_x0000_s1026" alt="&quot;&quot;" style="position:absolute;margin-left:315.85pt;margin-top:-1.95pt;width:1pt;height:1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" path="m,10l3,3,10,r7,3l20,10r-3,7l10,20,3,17,,10xe" fillcolor="#22b893" stroked="f">
                <v:path arrowok="t" o:connecttype="custom" o:connectlocs="0,-18415;1905,-22860;6350,-24765;10795,-22860;12700,-18415;10795,-13970;6350,-12065;1905,-13970;0,-18415" o:connectangles="0,0,0,0,0,0,0,0,0"/>
                <w10:wrap anchorx="page"/>
              </v:shape>
            </w:pict>
          </mc:Fallback>
        </mc:AlternateContent>
      </w:r>
      <w:r w:rsidRPr="00C000B2">
        <w:t>Aotearoa does not have a current alcohol control strategy but actions to date have been guided by the Sale and Supply of Alcohol Act 2012 and the National Drug Policy</w:t>
      </w:r>
      <w:r w:rsidR="00295A02">
        <w:br/>
      </w:r>
      <w:r w:rsidRPr="00C000B2">
        <w:t>2015–2020. The three WHO ‘best buys’ (increasing excise tax, restricting advertising and restricting availability) have not been</w:t>
      </w:r>
      <w:r w:rsidR="00295A02">
        <w:t xml:space="preserve"> </w:t>
      </w:r>
      <w:r w:rsidRPr="00C000B2">
        <w:t>implemented in Aotearoa. Alcohol remains readily available and accessible, increasingly affordable, and heavily advertised and marketed. The consequences of these conditions are evident, with no significant change in drinking patterns over time and ongoing inequities in alcohol-related harm.</w:t>
      </w:r>
    </w:p>
    <w:p w14:paraId="6E47ADF5" w14:textId="77777777" w:rsidR="00EF27EC" w:rsidRPr="00C000B2" w:rsidRDefault="00EF27EC" w:rsidP="00295A02"/>
    <w:p w14:paraId="4EE97D19" w14:textId="77777777" w:rsidR="00EF27EC" w:rsidRPr="00C000B2" w:rsidRDefault="007A2595" w:rsidP="007A2595">
      <w:pPr>
        <w:pStyle w:val="Heading1"/>
        <w:ind w:right="-851"/>
      </w:pPr>
      <w:bookmarkStart w:id="105" w:name="Te_ārai_mate_pukupuku_ā-kai,_ā-tinana_ti"/>
      <w:bookmarkStart w:id="106" w:name="What_is_the_connection_between_nutrition"/>
      <w:bookmarkStart w:id="107" w:name="_bookmark20"/>
      <w:bookmarkStart w:id="108" w:name="_Toc95742656"/>
      <w:bookmarkEnd w:id="105"/>
      <w:bookmarkEnd w:id="106"/>
      <w:bookmarkEnd w:id="107"/>
      <w:r w:rsidRPr="003D2655">
        <w:lastRenderedPageBreak/>
        <w:t>Te Ārai Mate Pukupuku</w:t>
      </w:r>
      <w:r>
        <w:br/>
      </w:r>
      <w:r w:rsidRPr="003D2655">
        <w:t>Ā</w:t>
      </w:r>
      <w:r>
        <w:noBreakHyphen/>
      </w:r>
      <w:r w:rsidRPr="003D2655">
        <w:t>Kai, Ā-Tinana Tino Mōmona</w:t>
      </w:r>
      <w:r w:rsidRPr="007A2595">
        <w:rPr>
          <w:color w:val="22B893"/>
        </w:rPr>
        <w:br/>
        <w:t>Preventing cancers</w:t>
      </w:r>
      <w:r w:rsidR="001461A3">
        <w:rPr>
          <w:color w:val="22B893"/>
        </w:rPr>
        <w:br/>
      </w:r>
      <w:r w:rsidRPr="007A2595">
        <w:rPr>
          <w:color w:val="22B893"/>
        </w:rPr>
        <w:t>related to nutrition and excess body weight</w:t>
      </w:r>
      <w:bookmarkEnd w:id="108"/>
    </w:p>
    <w:p w14:paraId="6E7113E7" w14:textId="77777777" w:rsidR="00EF27EC" w:rsidRPr="00C000B2" w:rsidRDefault="00EF27EC" w:rsidP="00E87CF6">
      <w:pPr>
        <w:pStyle w:val="Heading2"/>
      </w:pPr>
      <w:bookmarkStart w:id="109" w:name="_Toc95742657"/>
      <w:r w:rsidRPr="00C000B2">
        <w:t>What is the connection between nutrition, excess body weight and cancer?</w:t>
      </w:r>
      <w:bookmarkEnd w:id="109"/>
    </w:p>
    <w:p w14:paraId="03156D5F" w14:textId="77777777" w:rsidR="00EF27EC" w:rsidRPr="00C000B2" w:rsidRDefault="00EF27EC" w:rsidP="00E87CF6">
      <w:r w:rsidRPr="00C000B2">
        <w:rPr>
          <w:noProof/>
          <w:lang w:eastAsia="en-NZ"/>
        </w:rPr>
        <mc:AlternateContent>
          <mc:Choice Requires="wps">
            <w:drawing>
              <wp:anchor distT="0" distB="0" distL="180340" distR="0" simplePos="0" relativeHeight="252163072" behindDoc="0" locked="0" layoutInCell="1" allowOverlap="1" wp14:anchorId="0BD11C9F" wp14:editId="7043BE40">
                <wp:simplePos x="0" y="0"/>
                <wp:positionH relativeFrom="column">
                  <wp:posOffset>2942590</wp:posOffset>
                </wp:positionH>
                <wp:positionV relativeFrom="paragraph">
                  <wp:posOffset>37465</wp:posOffset>
                </wp:positionV>
                <wp:extent cx="2152650" cy="1861185"/>
                <wp:effectExtent l="0" t="0" r="0" b="5715"/>
                <wp:wrapSquare wrapText="left"/>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861185"/>
                        </a:xfrm>
                        <a:prstGeom prst="rect">
                          <a:avLst/>
                        </a:prstGeom>
                        <a:solidFill>
                          <a:srgbClr val="E0F1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6C5AE" w14:textId="77777777" w:rsidR="00D657A2" w:rsidRPr="00E87CF6" w:rsidRDefault="00D657A2" w:rsidP="00E87CF6">
                            <w:pPr>
                              <w:spacing w:before="120" w:after="120"/>
                              <w:ind w:left="142" w:right="142"/>
                            </w:pPr>
                            <w:r w:rsidRPr="00E87CF6">
                              <w:rPr>
                                <w:b/>
                              </w:rPr>
                              <w:t xml:space="preserve">Ultra-processed foods </w:t>
                            </w:r>
                            <w:r w:rsidRPr="00E87CF6">
                              <w:t>are typically energy-dense foods that are high in sugar, unhealthy fats and salt. They are often low in dietary fibre, protein, vitamins and minerals. Common examples of ultra-processed foods are packaged snacks, carbonated drinks, reconstituted meat products and confectionery.</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D11C9F" id="_x0000_t202" coordsize="21600,21600" o:spt="202" path="m,l,21600r21600,l21600,xe">
                <v:stroke joinstyle="miter"/>
                <v:path gradientshapeok="t" o:connecttype="rect"/>
              </v:shapetype>
              <v:shape id="Text Box 925" o:spid="_x0000_s1026" type="#_x0000_t202" style="position:absolute;margin-left:231.7pt;margin-top:2.95pt;width:169.5pt;height:146.55pt;z-index:252163072;visibility:visible;mso-wrap-style:square;mso-width-percent:0;mso-height-percent:0;mso-wrap-distance-left:14.2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" fillcolor="#e0f1ea" stroked="f">
                <v:textbox inset="0,0,0,0">
                  <w:txbxContent>
                    <w:p w14:paraId="58A6C5AE" w14:textId="77777777" w:rsidR="00D657A2" w:rsidRPr="00E87CF6" w:rsidRDefault="00D657A2" w:rsidP="00E87CF6">
                      <w:pPr>
                        <w:spacing w:before="120" w:after="120"/>
                        <w:ind w:left="142" w:right="142"/>
                      </w:pPr>
                      <w:r w:rsidRPr="00E87CF6">
                        <w:rPr>
                          <w:b/>
                        </w:rPr>
                        <w:t xml:space="preserve">Ultra-processed foods </w:t>
                      </w:r>
                      <w:r w:rsidRPr="00E87CF6">
                        <w:t>are typically energy-dense foods that are high in sugar, unhealthy fats and salt. They are often low in dietary fibre, protein, vitamins and minerals. Common examples of ultra-processed foods are packaged snacks, carbonated drinks, reconstituted meat products and confectionery.</w:t>
                      </w:r>
                    </w:p>
                  </w:txbxContent>
                </v:textbox>
                <w10:wrap type="square" side="left"/>
              </v:shape>
            </w:pict>
          </mc:Fallback>
        </mc:AlternateContent>
      </w:r>
      <w:r w:rsidRPr="00C000B2">
        <w:t>What we eat can affect our risk of developing a wide range of cancers.</w:t>
      </w:r>
      <w:r w:rsidRPr="00E87CF6">
        <w:rPr>
          <w:vertAlign w:val="superscript"/>
        </w:rPr>
        <w:t>194</w:t>
      </w:r>
      <w:r w:rsidRPr="00C000B2">
        <w:t xml:space="preserve"> What we eat also affects our body weight, which can increase the risk of developing cancers associated with excess body weight. A diet that includes a lot of fruit and vegetables, whole grains and plant proteins and a low amount of red and processed meat, refined carbohydrates and ultra-processed foods can reduce the risk of developing cancer (Figure 16).</w:t>
      </w:r>
      <w:r w:rsidRPr="00E87CF6">
        <w:rPr>
          <w:vertAlign w:val="superscript"/>
        </w:rPr>
        <w:t>45</w:t>
      </w:r>
      <w:r w:rsidRPr="00C000B2">
        <w:t xml:space="preserve"> In addition, reducing sugar-sweetened beverages, refined carbohydrates and ultra-processed foods can reduce the risk of cancers related to weight gain and excess body weight (Figure 17).</w:t>
      </w:r>
      <w:r w:rsidRPr="00E87CF6">
        <w:rPr>
          <w:vertAlign w:val="superscript"/>
        </w:rPr>
        <w:t>45</w:t>
      </w:r>
    </w:p>
    <w:p w14:paraId="68119114" w14:textId="77777777" w:rsidR="00EF27EC" w:rsidRPr="00C000B2" w:rsidRDefault="00EF27EC" w:rsidP="00E87CF6"/>
    <w:p w14:paraId="04F7959F" w14:textId="77777777" w:rsidR="00EF27EC" w:rsidRPr="00C000B2" w:rsidRDefault="00EF27EC" w:rsidP="00E87CF6">
      <w:r w:rsidRPr="00C000B2">
        <w:t>In 2019, it was estimated that ‘dietary risks’</w:t>
      </w:r>
      <w:r w:rsidR="00E87CF6" w:rsidRPr="00E87CF6">
        <w:rPr>
          <w:rStyle w:val="FootnoteReference"/>
          <w:vertAlign w:val="baseline"/>
        </w:rPr>
        <w:footnoteReference w:customMarkFollows="1" w:id="2"/>
        <w:t>*</w:t>
      </w:r>
      <w:r w:rsidRPr="00C000B2">
        <w:t xml:space="preserve"> (used here to approximate poor nutrition) caused almost 8 percent of all cancer deaths in Aotearoa (over 800 deaths), including 38</w:t>
      </w:r>
      <w:r w:rsidR="00E87CF6">
        <w:t> </w:t>
      </w:r>
      <w:r w:rsidRPr="00C000B2">
        <w:t>percent of all deaths from bowel cancer. Similarly, it was estimated that high body mass index (used here as an approximation for excess body weight) caused over 6</w:t>
      </w:r>
      <w:r w:rsidR="00E87CF6">
        <w:t> </w:t>
      </w:r>
      <w:r w:rsidRPr="00C000B2">
        <w:t>percent of all cancer deaths in Aotearoa (666 deaths), including 11 percent of bowel cancer deaths and 29 percent of oesophageal cancer deaths.</w:t>
      </w:r>
      <w:r w:rsidRPr="00E87CF6">
        <w:rPr>
          <w:vertAlign w:val="superscript"/>
        </w:rPr>
        <w:t>20</w:t>
      </w:r>
    </w:p>
    <w:p w14:paraId="2933A7B7" w14:textId="77777777" w:rsidR="00EF27EC" w:rsidRDefault="00EF27EC" w:rsidP="00E87CF6"/>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E87CF6" w14:paraId="6ECFFB5F" w14:textId="77777777" w:rsidTr="00F729B7">
        <w:trPr>
          <w:cantSplit/>
        </w:trPr>
        <w:tc>
          <w:tcPr>
            <w:tcW w:w="426" w:type="dxa"/>
            <w:tcBorders>
              <w:right w:val="single" w:sz="48" w:space="0" w:color="FFFFFF" w:themeColor="background1"/>
            </w:tcBorders>
            <w:shd w:val="clear" w:color="auto" w:fill="F37973"/>
          </w:tcPr>
          <w:p w14:paraId="3DB5DEBD" w14:textId="77777777" w:rsidR="00E87CF6" w:rsidRDefault="00E87CF6" w:rsidP="00F729B7">
            <w:pPr>
              <w:keepNext/>
            </w:pPr>
          </w:p>
        </w:tc>
        <w:tc>
          <w:tcPr>
            <w:tcW w:w="7371" w:type="dxa"/>
          </w:tcPr>
          <w:p w14:paraId="052EC88A" w14:textId="77777777" w:rsidR="00E87CF6" w:rsidRDefault="00E87CF6" w:rsidP="00E87CF6">
            <w:pPr>
              <w:keepNext/>
            </w:pPr>
            <w:r w:rsidRPr="00C000B2">
              <w:t>Māori and Pacific peoples have a higher burden of obesity-related cancers, such as uterine and breast cancers.</w:t>
            </w:r>
            <w:r w:rsidRPr="00E87CF6">
              <w:rPr>
                <w:vertAlign w:val="superscript"/>
              </w:rPr>
              <w:t>4</w:t>
            </w:r>
            <w:r w:rsidRPr="00C000B2">
              <w:t xml:space="preserve"> Pacific women have over 2.5 times the rate of uterine cancer compared with European/other women and they also have the most rapidly increasing rates over time, especially in younger women.</w:t>
            </w:r>
            <w:r w:rsidRPr="00E87CF6">
              <w:rPr>
                <w:vertAlign w:val="superscript"/>
              </w:rPr>
              <w:t>196, 197</w:t>
            </w:r>
            <w:r w:rsidRPr="00C000B2">
              <w:t xml:space="preserve"> The higher rates of obesity, physical inactivity and diabetes are one reason why the incidence rate of uterine cancer was 79</w:t>
            </w:r>
            <w:r>
              <w:t> </w:t>
            </w:r>
            <w:r w:rsidRPr="00C000B2">
              <w:t>percent higher among Pacific women than European/other women in the 2001–2004 cohort.</w:t>
            </w:r>
            <w:r w:rsidRPr="00E87CF6">
              <w:rPr>
                <w:vertAlign w:val="superscript"/>
              </w:rPr>
              <w:t>196</w:t>
            </w:r>
          </w:p>
        </w:tc>
      </w:tr>
    </w:tbl>
    <w:p w14:paraId="3BEB4FEB" w14:textId="77777777" w:rsidR="00E87CF6" w:rsidRPr="00C000B2" w:rsidRDefault="00E87CF6" w:rsidP="00E87CF6"/>
    <w:p w14:paraId="4D65AD22" w14:textId="77777777" w:rsidR="00EF27EC" w:rsidRPr="00521E6D" w:rsidRDefault="00521E6D" w:rsidP="00521E6D">
      <w:pPr>
        <w:pStyle w:val="Figure"/>
        <w:rPr>
          <w:b w:val="0"/>
        </w:rPr>
      </w:pPr>
      <w:bookmarkStart w:id="110" w:name="How_big_is_the_problem_of_poor_diet_and_"/>
      <w:bookmarkStart w:id="111" w:name="Figure_16:_Association_between_diet_and_"/>
      <w:bookmarkStart w:id="112" w:name="Figure_17:_Cancers_related_to_excess_bod"/>
      <w:bookmarkStart w:id="113" w:name="_bookmark21"/>
      <w:bookmarkStart w:id="114" w:name="_Toc95059137"/>
      <w:bookmarkEnd w:id="110"/>
      <w:bookmarkEnd w:id="111"/>
      <w:bookmarkEnd w:id="112"/>
      <w:bookmarkEnd w:id="113"/>
      <w:r>
        <w:t>Figure </w:t>
      </w:r>
      <w:r w:rsidR="00F50B6E">
        <w:fldChar w:fldCharType="begin"/>
      </w:r>
      <w:r w:rsidR="00F50B6E">
        <w:instrText xml:space="preserve"> SEQ Figure \* ARABIC </w:instrText>
      </w:r>
      <w:r w:rsidR="00F50B6E">
        <w:fldChar w:fldCharType="separate"/>
      </w:r>
      <w:r w:rsidR="006E6019">
        <w:rPr>
          <w:noProof/>
        </w:rPr>
        <w:t>16</w:t>
      </w:r>
      <w:r w:rsidR="00F50B6E">
        <w:rPr>
          <w:noProof/>
        </w:rPr>
        <w:fldChar w:fldCharType="end"/>
      </w:r>
      <w:r w:rsidR="00EF27EC" w:rsidRPr="00C000B2">
        <w:t>: Association between diet and risk of cancer</w:t>
      </w:r>
      <w:r w:rsidR="00EF27EC" w:rsidRPr="00521E6D">
        <w:rPr>
          <w:b w:val="0"/>
          <w:vertAlign w:val="superscript"/>
        </w:rPr>
        <w:t>45,</w:t>
      </w:r>
      <w:r w:rsidRPr="00521E6D">
        <w:rPr>
          <w:b w:val="0"/>
          <w:vertAlign w:val="superscript"/>
        </w:rPr>
        <w:t> </w:t>
      </w:r>
      <w:r w:rsidR="00EF27EC" w:rsidRPr="00521E6D">
        <w:rPr>
          <w:b w:val="0"/>
          <w:vertAlign w:val="superscript"/>
        </w:rPr>
        <w:t>194</w:t>
      </w:r>
      <w:bookmarkEnd w:id="114"/>
    </w:p>
    <w:p w14:paraId="50AFC51F" w14:textId="16A36541" w:rsidR="00521E6D" w:rsidRDefault="00D657A2" w:rsidP="00521E6D">
      <w:r>
        <w:rPr>
          <w:noProof/>
        </w:rPr>
        <w:drawing>
          <wp:inline distT="0" distB="0" distL="0" distR="0" wp14:anchorId="15702730" wp14:editId="671E7047">
            <wp:extent cx="4676400" cy="1634400"/>
            <wp:effectExtent l="0" t="0" r="0" b="4445"/>
            <wp:docPr id="940" name="Picture 940" descr="Wholegrains, non-starchy fruits/vegetables, dietary fibre, and dairy products can reduce the risk of these cancers: bowel, oesophagus, bladder, oral cavity, larynx, breast, kidney, liver, pharynx. Ultra-processed foods, high intake of red meat, foods preserved by salting, and grilled or barbequed meat/fish can increase the risk of these cancers: Bowel, stomach, oral cavity, larynx, breast, lung, phar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descr="Wholegrains, non-starchy fruits/vegetables, dietary fibre, and dairy products can reduce the risk of these cancers: bowel, oesophagus, bladder, oral cavity, larynx, breast, kidney, liver, pharynx. Ultra-processed foods, high intake of red meat, foods preserved by salting, and grilled or barbequed meat/fish can increase the risk of these cancers: Bowel, stomach, oral cavity, larynx, breast, lung, pharynx."/>
                    <pic:cNvPicPr/>
                  </pic:nvPicPr>
                  <pic:blipFill>
                    <a:blip r:embed="rId46"/>
                    <a:stretch>
                      <a:fillRect/>
                    </a:stretch>
                  </pic:blipFill>
                  <pic:spPr>
                    <a:xfrm>
                      <a:off x="0" y="0"/>
                      <a:ext cx="4676400" cy="1634400"/>
                    </a:xfrm>
                    <a:prstGeom prst="rect">
                      <a:avLst/>
                    </a:prstGeom>
                  </pic:spPr>
                </pic:pic>
              </a:graphicData>
            </a:graphic>
          </wp:inline>
        </w:drawing>
      </w:r>
    </w:p>
    <w:p w14:paraId="022A12F4" w14:textId="77777777" w:rsidR="00521E6D" w:rsidRPr="00521E6D" w:rsidRDefault="00521E6D" w:rsidP="00521E6D"/>
    <w:p w14:paraId="2325C234" w14:textId="77777777" w:rsidR="00EF27EC" w:rsidRPr="00521E6D" w:rsidRDefault="00521E6D" w:rsidP="00521E6D">
      <w:pPr>
        <w:pStyle w:val="Figure"/>
        <w:rPr>
          <w:b w:val="0"/>
        </w:rPr>
      </w:pPr>
      <w:bookmarkStart w:id="115" w:name="_Toc95059138"/>
      <w:r>
        <w:t>Figure </w:t>
      </w:r>
      <w:r w:rsidR="00F50B6E">
        <w:fldChar w:fldCharType="begin"/>
      </w:r>
      <w:r w:rsidR="00F50B6E">
        <w:instrText xml:space="preserve"> SEQ Figure \* ARABIC </w:instrText>
      </w:r>
      <w:r w:rsidR="00F50B6E">
        <w:fldChar w:fldCharType="separate"/>
      </w:r>
      <w:r w:rsidR="006E6019">
        <w:rPr>
          <w:noProof/>
        </w:rPr>
        <w:t>17</w:t>
      </w:r>
      <w:r w:rsidR="00F50B6E">
        <w:rPr>
          <w:noProof/>
        </w:rPr>
        <w:fldChar w:fldCharType="end"/>
      </w:r>
      <w:r w:rsidR="00EF27EC" w:rsidRPr="00C000B2">
        <w:t>: Cancers related to excess body weight</w:t>
      </w:r>
      <w:r w:rsidR="00EF27EC" w:rsidRPr="00521E6D">
        <w:rPr>
          <w:b w:val="0"/>
          <w:vertAlign w:val="superscript"/>
        </w:rPr>
        <w:t>45</w:t>
      </w:r>
      <w:bookmarkEnd w:id="115"/>
    </w:p>
    <w:p w14:paraId="7A981B22" w14:textId="2D62D6B6" w:rsidR="00521E6D" w:rsidRDefault="00033B4E" w:rsidP="00521E6D">
      <w:r w:rsidRPr="00033B4E">
        <w:rPr>
          <w:noProof/>
        </w:rPr>
        <w:drawing>
          <wp:inline distT="0" distB="0" distL="0" distR="0" wp14:anchorId="43D3D99C" wp14:editId="4FBB7C78">
            <wp:extent cx="4220164" cy="3753374"/>
            <wp:effectExtent l="0" t="0" r="9525" b="0"/>
            <wp:docPr id="944" name="Picture 944" descr="Diagram of human body indicating locations from meningioma and oral cavity to breast and stomach and bladder and pro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descr="Diagram of human body indicating locations from meningioma and oral cavity to breast and stomach and bladder and prostate."/>
                    <pic:cNvPicPr/>
                  </pic:nvPicPr>
                  <pic:blipFill>
                    <a:blip r:embed="rId47"/>
                    <a:stretch>
                      <a:fillRect/>
                    </a:stretch>
                  </pic:blipFill>
                  <pic:spPr>
                    <a:xfrm>
                      <a:off x="0" y="0"/>
                      <a:ext cx="4220164" cy="3753374"/>
                    </a:xfrm>
                    <a:prstGeom prst="rect">
                      <a:avLst/>
                    </a:prstGeom>
                  </pic:spPr>
                </pic:pic>
              </a:graphicData>
            </a:graphic>
          </wp:inline>
        </w:drawing>
      </w:r>
    </w:p>
    <w:p w14:paraId="3855DAD1" w14:textId="77777777" w:rsidR="00521E6D" w:rsidRPr="00521E6D" w:rsidRDefault="00521E6D" w:rsidP="00952F81"/>
    <w:p w14:paraId="50B85A51" w14:textId="77777777" w:rsidR="00EF27EC" w:rsidRPr="00C000B2" w:rsidRDefault="00EF27EC" w:rsidP="00952F81">
      <w:pPr>
        <w:pStyle w:val="Heading2"/>
      </w:pPr>
      <w:bookmarkStart w:id="116" w:name="_Toc95742658"/>
      <w:r w:rsidRPr="00C000B2">
        <w:lastRenderedPageBreak/>
        <w:t>How big is the problem of poor diet and excess body weight in Aotearoa?</w:t>
      </w:r>
      <w:bookmarkEnd w:id="116"/>
    </w:p>
    <w:p w14:paraId="4B6DBFD3" w14:textId="77777777" w:rsidR="00EF27EC" w:rsidRPr="00C000B2" w:rsidRDefault="00EF27EC" w:rsidP="00952F81">
      <w:r w:rsidRPr="00C000B2">
        <w:t>We do not regularly collect detailed information on diet in Aotearoa. The last nutritional surveys were conducted over 10 years ago among adults and nearly 20 years ago for children. However, we know from some national surveys that only one-third (36 percent) of adults and less than half</w:t>
      </w:r>
      <w:r w:rsidR="00952F81">
        <w:t xml:space="preserve"> </w:t>
      </w:r>
      <w:r w:rsidRPr="00C000B2">
        <w:t>(44 percent) of all children get the recommended five servings of vegetables and fruit each day</w:t>
      </w:r>
      <w:r w:rsidR="00952F81" w:rsidRPr="00952F81">
        <w:rPr>
          <w:rStyle w:val="FootnoteReference"/>
          <w:vertAlign w:val="baseline"/>
        </w:rPr>
        <w:footnoteReference w:customMarkFollows="1" w:id="3"/>
        <w:t>*</w:t>
      </w:r>
      <w:r w:rsidRPr="00C000B2">
        <w:t xml:space="preserve"> (</w:t>
      </w:r>
      <w:r w:rsidR="00952F81">
        <w:fldChar w:fldCharType="begin"/>
      </w:r>
      <w:r w:rsidR="00952F81">
        <w:instrText xml:space="preserve"> REF _Ref94856597 \h </w:instrText>
      </w:r>
      <w:r w:rsidR="00952F81">
        <w:fldChar w:fldCharType="separate"/>
      </w:r>
      <w:r w:rsidR="006E6019">
        <w:t>Figure </w:t>
      </w:r>
      <w:r w:rsidR="006E6019">
        <w:rPr>
          <w:noProof/>
        </w:rPr>
        <w:t>18</w:t>
      </w:r>
      <w:r w:rsidR="00952F81">
        <w:fldChar w:fldCharType="end"/>
      </w:r>
      <w:r w:rsidRPr="00C000B2">
        <w:t>).</w:t>
      </w:r>
      <w:r w:rsidRPr="00952F81">
        <w:rPr>
          <w:vertAlign w:val="superscript"/>
        </w:rPr>
        <w:t>49</w:t>
      </w:r>
      <w:r w:rsidRPr="00C000B2">
        <w:t xml:space="preserve"> Adults and children living in the most deprived areas, men, and adults of Māori, Pacific and Asian ethnicity are less likely to consume enough vegetables and fruit (</w:t>
      </w:r>
      <w:r w:rsidR="00877818">
        <w:fldChar w:fldCharType="begin"/>
      </w:r>
      <w:r w:rsidR="00877818">
        <w:instrText xml:space="preserve"> REF _Ref94857127 \h </w:instrText>
      </w:r>
      <w:r w:rsidR="00877818">
        <w:fldChar w:fldCharType="separate"/>
      </w:r>
      <w:r w:rsidR="006E6019">
        <w:t>Figure </w:t>
      </w:r>
      <w:r w:rsidR="006E6019">
        <w:rPr>
          <w:noProof/>
        </w:rPr>
        <w:t>20</w:t>
      </w:r>
      <w:r w:rsidR="00877818">
        <w:fldChar w:fldCharType="end"/>
      </w:r>
      <w:r w:rsidRPr="00C000B2">
        <w:t xml:space="preserve"> and </w:t>
      </w:r>
      <w:r w:rsidR="00877818">
        <w:fldChar w:fldCharType="begin"/>
      </w:r>
      <w:r w:rsidR="00877818">
        <w:instrText xml:space="preserve"> REF _Ref94857131 \h </w:instrText>
      </w:r>
      <w:r w:rsidR="00877818">
        <w:fldChar w:fldCharType="separate"/>
      </w:r>
      <w:r w:rsidR="006E6019">
        <w:t>Figure </w:t>
      </w:r>
      <w:r w:rsidR="006E6019">
        <w:rPr>
          <w:noProof/>
        </w:rPr>
        <w:t>21</w:t>
      </w:r>
      <w:r w:rsidR="00877818">
        <w:fldChar w:fldCharType="end"/>
      </w:r>
      <w:r w:rsidRPr="00C000B2">
        <w:t>).</w:t>
      </w:r>
      <w:r w:rsidRPr="00952F81">
        <w:rPr>
          <w:vertAlign w:val="superscript"/>
        </w:rPr>
        <w:t>49</w:t>
      </w:r>
      <w:r w:rsidRPr="00C000B2">
        <w:t xml:space="preserve"> Many children in Aotearoa regularly have fast foods and fizzy drinks: over half (54 percent) eat fast foods and a quarter (26 percent) drink fizzy drinks at least weekly.</w:t>
      </w:r>
      <w:r w:rsidRPr="00952F81">
        <w:rPr>
          <w:vertAlign w:val="superscript"/>
        </w:rPr>
        <w:t>49</w:t>
      </w:r>
    </w:p>
    <w:p w14:paraId="4C64D8CB" w14:textId="77777777" w:rsidR="00EF27EC" w:rsidRPr="00C000B2" w:rsidRDefault="00EF27EC" w:rsidP="00EF27EC"/>
    <w:p w14:paraId="53DDC71A" w14:textId="77777777" w:rsidR="00EF27EC" w:rsidRPr="00952F81" w:rsidRDefault="00952F81" w:rsidP="00952F81">
      <w:pPr>
        <w:pStyle w:val="Figure"/>
      </w:pPr>
      <w:bookmarkStart w:id="117" w:name="_Ref94856597"/>
      <w:bookmarkStart w:id="118" w:name="_Toc95059139"/>
      <w:r>
        <w:t>Figure </w:t>
      </w:r>
      <w:r w:rsidR="00F50B6E">
        <w:fldChar w:fldCharType="begin"/>
      </w:r>
      <w:r w:rsidR="00F50B6E">
        <w:instrText xml:space="preserve"> SEQ Figure \* ARABIC </w:instrText>
      </w:r>
      <w:r w:rsidR="00F50B6E">
        <w:fldChar w:fldCharType="separate"/>
      </w:r>
      <w:r w:rsidR="006E6019">
        <w:rPr>
          <w:noProof/>
        </w:rPr>
        <w:t>18</w:t>
      </w:r>
      <w:r w:rsidR="00F50B6E">
        <w:rPr>
          <w:noProof/>
        </w:rPr>
        <w:fldChar w:fldCharType="end"/>
      </w:r>
      <w:bookmarkStart w:id="119" w:name="Figure_18:_Patterns_of_vegetable_and_fru"/>
      <w:bookmarkStart w:id="120" w:name="Figure_19:_Recommended_number_of_serving"/>
      <w:bookmarkStart w:id="121" w:name="_bookmark22"/>
      <w:bookmarkEnd w:id="117"/>
      <w:bookmarkEnd w:id="119"/>
      <w:bookmarkEnd w:id="120"/>
      <w:bookmarkEnd w:id="121"/>
      <w:r w:rsidR="00EF27EC" w:rsidRPr="00C000B2">
        <w:t>: Patterns of vegetable and fruit consumption in Aotearoa, 2019/20</w:t>
      </w:r>
      <w:r w:rsidR="00EF27EC" w:rsidRPr="00952F81">
        <w:rPr>
          <w:b w:val="0"/>
          <w:vertAlign w:val="superscript"/>
        </w:rPr>
        <w:t>49</w:t>
      </w:r>
      <w:bookmarkEnd w:id="118"/>
    </w:p>
    <w:p w14:paraId="7E2C04BC" w14:textId="77777777" w:rsidR="00EF27EC" w:rsidRDefault="006A3EE7" w:rsidP="00952F81">
      <w:r>
        <w:rPr>
          <w:noProof/>
          <w:lang w:eastAsia="en-NZ"/>
        </w:rPr>
        <w:drawing>
          <wp:inline distT="0" distB="0" distL="0" distR="0" wp14:anchorId="586AD5D1" wp14:editId="1599978F">
            <wp:extent cx="4842344" cy="2335427"/>
            <wp:effectExtent l="0" t="0" r="0" b="8255"/>
            <wp:docPr id="1399" name="Picture 1399" title="Figure 18: Patterns of vegetable and fruit consumption in Aotearoa,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932"/>
                    <a:stretch/>
                  </pic:blipFill>
                  <pic:spPr bwMode="auto">
                    <a:xfrm>
                      <a:off x="0" y="0"/>
                      <a:ext cx="4838608" cy="2333625"/>
                    </a:xfrm>
                    <a:prstGeom prst="rect">
                      <a:avLst/>
                    </a:prstGeom>
                    <a:ln>
                      <a:noFill/>
                    </a:ln>
                    <a:extLst>
                      <a:ext uri="{53640926-AAD7-44D8-BBD7-CCE9431645EC}">
                        <a14:shadowObscured xmlns:a14="http://schemas.microsoft.com/office/drawing/2010/main"/>
                      </a:ext>
                    </a:extLst>
                  </pic:spPr>
                </pic:pic>
              </a:graphicData>
            </a:graphic>
          </wp:inline>
        </w:drawing>
      </w:r>
    </w:p>
    <w:p w14:paraId="79BEADC2" w14:textId="77777777" w:rsidR="006A3EE7" w:rsidRDefault="006A3EE7" w:rsidP="006A3EE7"/>
    <w:p w14:paraId="231CE949" w14:textId="77777777" w:rsidR="00EF27EC" w:rsidRDefault="006A3EE7" w:rsidP="006A3EE7">
      <w:pPr>
        <w:pStyle w:val="Figure"/>
        <w:rPr>
          <w:b w:val="0"/>
          <w:vertAlign w:val="superscript"/>
        </w:rPr>
      </w:pPr>
      <w:bookmarkStart w:id="122" w:name="_Ref94856944"/>
      <w:bookmarkStart w:id="123" w:name="_Toc95059140"/>
      <w:r>
        <w:lastRenderedPageBreak/>
        <w:t>Figure </w:t>
      </w:r>
      <w:r w:rsidR="00F50B6E">
        <w:fldChar w:fldCharType="begin"/>
      </w:r>
      <w:r w:rsidR="00F50B6E">
        <w:instrText xml:space="preserve"> SEQ Figure \* ARABIC </w:instrText>
      </w:r>
      <w:r w:rsidR="00F50B6E">
        <w:fldChar w:fldCharType="separate"/>
      </w:r>
      <w:r w:rsidR="006E6019">
        <w:rPr>
          <w:noProof/>
        </w:rPr>
        <w:t>19</w:t>
      </w:r>
      <w:r w:rsidR="00F50B6E">
        <w:rPr>
          <w:noProof/>
        </w:rPr>
        <w:fldChar w:fldCharType="end"/>
      </w:r>
      <w:bookmarkEnd w:id="122"/>
      <w:r w:rsidR="00EF27EC" w:rsidRPr="00C000B2">
        <w:t>: Recommended number of servings per day for adults (updated guidelines, December 2020)</w:t>
      </w:r>
      <w:r w:rsidR="00EF27EC" w:rsidRPr="006A3EE7">
        <w:rPr>
          <w:b w:val="0"/>
          <w:vertAlign w:val="superscript"/>
        </w:rPr>
        <w:t>198</w:t>
      </w:r>
      <w:bookmarkEnd w:id="123"/>
    </w:p>
    <w:p w14:paraId="272E4819" w14:textId="77777777" w:rsidR="00EF27EC" w:rsidRDefault="006A3EE7" w:rsidP="006A3EE7">
      <w:r>
        <w:rPr>
          <w:noProof/>
          <w:lang w:eastAsia="en-NZ"/>
        </w:rPr>
        <w:drawing>
          <wp:inline distT="0" distB="0" distL="0" distR="0" wp14:anchorId="4057FA41" wp14:editId="0A285706">
            <wp:extent cx="5130165" cy="5036989"/>
            <wp:effectExtent l="0" t="0" r="0" b="0"/>
            <wp:docPr id="1400" name="Picture 1400" title="Figure 19: Recommended number of servings per day for adults (updated guidelines,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30165" cy="5036989"/>
                    </a:xfrm>
                    <a:prstGeom prst="rect">
                      <a:avLst/>
                    </a:prstGeom>
                  </pic:spPr>
                </pic:pic>
              </a:graphicData>
            </a:graphic>
          </wp:inline>
        </w:drawing>
      </w:r>
    </w:p>
    <w:p w14:paraId="3590B1DD" w14:textId="77777777" w:rsidR="006A3EE7" w:rsidRPr="00C000B2" w:rsidRDefault="006A3EE7" w:rsidP="006A3EE7"/>
    <w:p w14:paraId="0B042967" w14:textId="77777777" w:rsidR="00EF27EC" w:rsidRPr="00877818" w:rsidRDefault="00877818" w:rsidP="00877818">
      <w:pPr>
        <w:pStyle w:val="Figure"/>
        <w:rPr>
          <w:b w:val="0"/>
        </w:rPr>
      </w:pPr>
      <w:bookmarkStart w:id="124" w:name="Figure_20:_Percentage_of_adults_who_get_"/>
      <w:bookmarkStart w:id="125" w:name="Figure_21:_Percentage_of_adults_and_chil"/>
      <w:bookmarkStart w:id="126" w:name="_bookmark23"/>
      <w:bookmarkStart w:id="127" w:name="_Ref94857127"/>
      <w:bookmarkStart w:id="128" w:name="_Toc95059141"/>
      <w:bookmarkEnd w:id="124"/>
      <w:bookmarkEnd w:id="125"/>
      <w:bookmarkEnd w:id="126"/>
      <w:r>
        <w:t>Figure </w:t>
      </w:r>
      <w:r w:rsidR="00F50B6E">
        <w:fldChar w:fldCharType="begin"/>
      </w:r>
      <w:r w:rsidR="00F50B6E">
        <w:instrText xml:space="preserve"> SEQ Figure \* ARABIC </w:instrText>
      </w:r>
      <w:r w:rsidR="00F50B6E">
        <w:fldChar w:fldCharType="separate"/>
      </w:r>
      <w:r w:rsidR="006E6019">
        <w:rPr>
          <w:noProof/>
        </w:rPr>
        <w:t>20</w:t>
      </w:r>
      <w:r w:rsidR="00F50B6E">
        <w:rPr>
          <w:noProof/>
        </w:rPr>
        <w:fldChar w:fldCharType="end"/>
      </w:r>
      <w:bookmarkEnd w:id="127"/>
      <w:r w:rsidR="00EF27EC" w:rsidRPr="00C000B2">
        <w:t>: Percentage of adults who get the daily recommended servings of vegetables and fruit each day, by ethnicity, 2019/</w:t>
      </w:r>
      <w:r w:rsidR="00EF27EC" w:rsidRPr="006A3EE7">
        <w:t>20</w:t>
      </w:r>
      <w:r w:rsidR="00EF27EC" w:rsidRPr="00877818">
        <w:rPr>
          <w:b w:val="0"/>
          <w:vertAlign w:val="superscript"/>
        </w:rPr>
        <w:t>49</w:t>
      </w:r>
      <w:bookmarkEnd w:id="128"/>
    </w:p>
    <w:p w14:paraId="39B51E26" w14:textId="77777777" w:rsidR="00EF27EC" w:rsidRDefault="00C46BCF" w:rsidP="00877818">
      <w:r>
        <w:rPr>
          <w:noProof/>
          <w:lang w:eastAsia="en-NZ"/>
        </w:rPr>
        <w:drawing>
          <wp:inline distT="0" distB="0" distL="0" distR="0" wp14:anchorId="489F38A0" wp14:editId="1F4C3BDA">
            <wp:extent cx="3593989" cy="2512810"/>
            <wp:effectExtent l="0" t="0" r="6985" b="1905"/>
            <wp:docPr id="1401" name="Picture 1401" title="Figure 20: Percentage of adults who get the daily recommended servings of vegetables and fruit each day, by ethnicity,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02806" cy="2518975"/>
                    </a:xfrm>
                    <a:prstGeom prst="rect">
                      <a:avLst/>
                    </a:prstGeom>
                  </pic:spPr>
                </pic:pic>
              </a:graphicData>
            </a:graphic>
          </wp:inline>
        </w:drawing>
      </w:r>
    </w:p>
    <w:p w14:paraId="74526773" w14:textId="77777777" w:rsidR="00C46BCF" w:rsidRPr="00C000B2" w:rsidRDefault="00C46BCF" w:rsidP="00C46BCF"/>
    <w:p w14:paraId="1857AA34" w14:textId="77777777" w:rsidR="00EF27EC" w:rsidRPr="00877818" w:rsidRDefault="00877818" w:rsidP="00877818">
      <w:pPr>
        <w:pStyle w:val="Figure"/>
        <w:rPr>
          <w:b w:val="0"/>
        </w:rPr>
      </w:pPr>
      <w:bookmarkStart w:id="129" w:name="_Ref94857131"/>
      <w:bookmarkStart w:id="130" w:name="_Toc95059142"/>
      <w:r>
        <w:lastRenderedPageBreak/>
        <w:t>Figure </w:t>
      </w:r>
      <w:r w:rsidR="00F50B6E">
        <w:fldChar w:fldCharType="begin"/>
      </w:r>
      <w:r w:rsidR="00F50B6E">
        <w:instrText xml:space="preserve"> SEQ Figure \* ARABIC </w:instrText>
      </w:r>
      <w:r w:rsidR="00F50B6E">
        <w:fldChar w:fldCharType="separate"/>
      </w:r>
      <w:r w:rsidR="006E6019">
        <w:rPr>
          <w:noProof/>
        </w:rPr>
        <w:t>21</w:t>
      </w:r>
      <w:r w:rsidR="00F50B6E">
        <w:rPr>
          <w:noProof/>
        </w:rPr>
        <w:fldChar w:fldCharType="end"/>
      </w:r>
      <w:bookmarkEnd w:id="129"/>
      <w:r w:rsidR="00EF27EC" w:rsidRPr="00C000B2">
        <w:t>: Percentage of adults and children who get the recommended servings of vegetables and fruit each day, by neighbourhood deprivation, 2019/20</w:t>
      </w:r>
      <w:r w:rsidR="00EF27EC" w:rsidRPr="00877818">
        <w:rPr>
          <w:b w:val="0"/>
          <w:vertAlign w:val="superscript"/>
        </w:rPr>
        <w:t>49</w:t>
      </w:r>
      <w:bookmarkEnd w:id="130"/>
    </w:p>
    <w:p w14:paraId="76295771" w14:textId="77777777" w:rsidR="00877818" w:rsidRDefault="00C46BCF" w:rsidP="00C46BCF">
      <w:r>
        <w:rPr>
          <w:noProof/>
          <w:lang w:eastAsia="en-NZ"/>
        </w:rPr>
        <w:drawing>
          <wp:inline distT="0" distB="0" distL="0" distR="0" wp14:anchorId="4AA0D8FC" wp14:editId="17B11DA1">
            <wp:extent cx="3595757" cy="2623931"/>
            <wp:effectExtent l="0" t="0" r="5080" b="5080"/>
            <wp:docPr id="1402" name="Picture 1402" title="Figure 21: Percentage of adults and children who get the recommended servings of vegetables and fruit each day, by neighbourhood deprivatio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96992" cy="2624832"/>
                    </a:xfrm>
                    <a:prstGeom prst="rect">
                      <a:avLst/>
                    </a:prstGeom>
                  </pic:spPr>
                </pic:pic>
              </a:graphicData>
            </a:graphic>
          </wp:inline>
        </w:drawing>
      </w:r>
    </w:p>
    <w:p w14:paraId="2B0C7FFD" w14:textId="77777777" w:rsidR="00C46BCF" w:rsidRDefault="00C46BCF" w:rsidP="00C46BCF"/>
    <w:p w14:paraId="1996E328" w14:textId="77777777" w:rsidR="00EF27EC" w:rsidRPr="00C000B2" w:rsidRDefault="00EF27EC" w:rsidP="0088382B">
      <w:r w:rsidRPr="00C000B2">
        <w:t>Having excess body weight is common in Aotearoa. Two-thirds of adults and just under a third of children have excess body weight. Māori and Pacific adults and children, and those living in the most deprived areas, are much more likely to have excess body weight.</w:t>
      </w:r>
      <w:r w:rsidRPr="0088382B">
        <w:rPr>
          <w:vertAlign w:val="superscript"/>
        </w:rPr>
        <w:t>49</w:t>
      </w:r>
    </w:p>
    <w:p w14:paraId="4C952BA1" w14:textId="77777777" w:rsidR="00EF27EC" w:rsidRPr="00C000B2" w:rsidRDefault="00EF27EC" w:rsidP="0088382B"/>
    <w:p w14:paraId="11B79EE0" w14:textId="77777777" w:rsidR="00EF27EC" w:rsidRPr="00C000B2" w:rsidRDefault="00EF27EC" w:rsidP="0088382B">
      <w:r w:rsidRPr="00C000B2">
        <w:t>Adults in Aotearoa are the sixth most overweight/obese population among OECD countries</w:t>
      </w:r>
      <w:r w:rsidR="0088382B">
        <w:t xml:space="preserve"> </w:t>
      </w:r>
      <w:r w:rsidRPr="00C000B2">
        <w:t>(</w:t>
      </w:r>
      <w:r w:rsidR="00F55AD0">
        <w:fldChar w:fldCharType="begin"/>
      </w:r>
      <w:r w:rsidR="00F55AD0">
        <w:instrText xml:space="preserve"> REF _Ref94857584 \h </w:instrText>
      </w:r>
      <w:r w:rsidR="00F55AD0">
        <w:fldChar w:fldCharType="separate"/>
      </w:r>
      <w:r w:rsidR="006E6019">
        <w:t>Figure </w:t>
      </w:r>
      <w:r w:rsidR="006E6019">
        <w:rPr>
          <w:noProof/>
        </w:rPr>
        <w:t>22</w:t>
      </w:r>
      <w:r w:rsidR="00F55AD0">
        <w:fldChar w:fldCharType="end"/>
      </w:r>
      <w:r w:rsidRPr="00C000B2">
        <w:t>).</w:t>
      </w:r>
      <w:r w:rsidRPr="00F55AD0">
        <w:rPr>
          <w:vertAlign w:val="superscript"/>
        </w:rPr>
        <w:t>199</w:t>
      </w:r>
      <w:r w:rsidRPr="00C000B2">
        <w:t xml:space="preserve"> In 2016, children in Aotearoa had the second highest rates of being overweight among 41 OECD and European Union countries, after the USA.</w:t>
      </w:r>
      <w:r w:rsidRPr="00F55AD0">
        <w:rPr>
          <w:vertAlign w:val="superscript"/>
        </w:rPr>
        <w:t>200</w:t>
      </w:r>
    </w:p>
    <w:p w14:paraId="4C56B39E" w14:textId="77777777" w:rsidR="00EF27EC" w:rsidRPr="00C000B2" w:rsidRDefault="00EF27EC" w:rsidP="00EF27EC">
      <w:pPr>
        <w:spacing w:line="290" w:lineRule="auto"/>
      </w:pPr>
    </w:p>
    <w:p w14:paraId="35358FBD" w14:textId="77777777" w:rsidR="00EF27EC" w:rsidRPr="00F55AD0" w:rsidRDefault="00F55AD0" w:rsidP="00F55AD0">
      <w:pPr>
        <w:pStyle w:val="Figure"/>
        <w:rPr>
          <w:b w:val="0"/>
        </w:rPr>
      </w:pPr>
      <w:bookmarkStart w:id="131" w:name="How_can_we_prevent_cancers_related_to_po"/>
      <w:bookmarkStart w:id="132" w:name="Figure_22:_Overweight_or_obesity_among_a"/>
      <w:bookmarkStart w:id="133" w:name="_bookmark24"/>
      <w:bookmarkStart w:id="134" w:name="_Ref94857584"/>
      <w:bookmarkStart w:id="135" w:name="_Toc95059143"/>
      <w:bookmarkEnd w:id="131"/>
      <w:bookmarkEnd w:id="132"/>
      <w:bookmarkEnd w:id="133"/>
      <w:r>
        <w:t>Figure </w:t>
      </w:r>
      <w:r w:rsidR="00F50B6E">
        <w:fldChar w:fldCharType="begin"/>
      </w:r>
      <w:r w:rsidR="00F50B6E">
        <w:instrText xml:space="preserve"> SEQ Figure \* ARABIC </w:instrText>
      </w:r>
      <w:r w:rsidR="00F50B6E">
        <w:fldChar w:fldCharType="separate"/>
      </w:r>
      <w:r w:rsidR="006E6019">
        <w:rPr>
          <w:noProof/>
        </w:rPr>
        <w:t>22</w:t>
      </w:r>
      <w:r w:rsidR="00F50B6E">
        <w:rPr>
          <w:noProof/>
        </w:rPr>
        <w:fldChar w:fldCharType="end"/>
      </w:r>
      <w:bookmarkEnd w:id="134"/>
      <w:r w:rsidR="00EF27EC" w:rsidRPr="00C000B2">
        <w:t>: Overweight or obesity among adults (aged 15 years and older), 2020 or nearest year</w:t>
      </w:r>
      <w:r w:rsidR="00EF27EC" w:rsidRPr="00F55AD0">
        <w:rPr>
          <w:vertAlign w:val="superscript"/>
        </w:rPr>
        <w:t>199</w:t>
      </w:r>
      <w:bookmarkEnd w:id="135"/>
    </w:p>
    <w:p w14:paraId="62D8093E" w14:textId="77777777" w:rsidR="00EF27EC" w:rsidRDefault="00F55AD0" w:rsidP="00F55AD0">
      <w:r>
        <w:rPr>
          <w:noProof/>
          <w:lang w:eastAsia="en-NZ"/>
        </w:rPr>
        <w:drawing>
          <wp:inline distT="0" distB="0" distL="0" distR="0" wp14:anchorId="00CA7A6A" wp14:editId="72C6EE93">
            <wp:extent cx="4309607" cy="2689360"/>
            <wp:effectExtent l="0" t="0" r="0" b="0"/>
            <wp:docPr id="1403" name="Picture 1403" title="Figure 22: Overweight or obesity among adults (aged 15 years and older), 2020 or neare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10929" cy="2690185"/>
                    </a:xfrm>
                    <a:prstGeom prst="rect">
                      <a:avLst/>
                    </a:prstGeom>
                  </pic:spPr>
                </pic:pic>
              </a:graphicData>
            </a:graphic>
          </wp:inline>
        </w:drawing>
      </w:r>
    </w:p>
    <w:p w14:paraId="14E78996" w14:textId="77777777" w:rsidR="00F55AD0" w:rsidRPr="00C000B2" w:rsidRDefault="00F55AD0" w:rsidP="00F55AD0"/>
    <w:p w14:paraId="1195EEDA" w14:textId="77777777" w:rsidR="00EF27EC" w:rsidRPr="00C000B2" w:rsidRDefault="00EF27EC" w:rsidP="00F55AD0">
      <w:pPr>
        <w:pStyle w:val="Heading2"/>
      </w:pPr>
      <w:bookmarkStart w:id="136" w:name="_Toc95742659"/>
      <w:r w:rsidRPr="00C000B2">
        <w:lastRenderedPageBreak/>
        <w:t>How can we prevent cancers related to poor diet and excess body weight?</w:t>
      </w:r>
      <w:bookmarkEnd w:id="136"/>
    </w:p>
    <w:p w14:paraId="3FF8CCE1" w14:textId="77777777" w:rsidR="00EF27EC" w:rsidRPr="00C000B2" w:rsidRDefault="00EF27EC" w:rsidP="00F55AD0">
      <w:r w:rsidRPr="00C000B2">
        <w:t>The interventions summarised below (and expanded on under the focus areas that follow) are those considered most likely to improve the nutritional quality of New Zealanders’ diets and to help reduce the prevalence of excess body weight. These interventions are in line with evidence-based recommendations of Aotearoa health policy experts from INFORMAS</w:t>
      </w:r>
      <w:r w:rsidR="00DC6AEF">
        <w:t>.</w:t>
      </w:r>
      <w:r w:rsidR="00DC6AEF" w:rsidRPr="00DC6AEF">
        <w:rPr>
          <w:rStyle w:val="FootnoteReference"/>
          <w:vertAlign w:val="baseline"/>
        </w:rPr>
        <w:footnoteReference w:customMarkFollows="1" w:id="4"/>
        <w:t>*</w:t>
      </w:r>
      <w:r w:rsidRPr="00C000B2">
        <w:t xml:space="preserve"> They are also consistent with recommendations from the World Health Organization, the World Cancer Research Fund201 and other major national and international organisations. Comprehensive action, including interventions at multiple levels, is needed to reduce exposure to unhealthy foods, increase consumption of healthy foods and ultimately prevent more people from gaining weight and/or developing excess body weight.</w:t>
      </w:r>
    </w:p>
    <w:p w14:paraId="46D8A99B" w14:textId="77777777" w:rsidR="00EF27EC" w:rsidRDefault="00EF27EC" w:rsidP="00DC6AEF"/>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F0"/>
        <w:tblLayout w:type="fixed"/>
        <w:tblCellMar>
          <w:left w:w="57" w:type="dxa"/>
          <w:right w:w="57" w:type="dxa"/>
        </w:tblCellMar>
        <w:tblLook w:val="04A0" w:firstRow="1" w:lastRow="0" w:firstColumn="1" w:lastColumn="0" w:noHBand="0" w:noVBand="1"/>
      </w:tblPr>
      <w:tblGrid>
        <w:gridCol w:w="8295"/>
      </w:tblGrid>
      <w:tr w:rsidR="00DC6AEF" w:rsidRPr="004805C8" w14:paraId="7EF32DDE" w14:textId="77777777" w:rsidTr="00F729B7">
        <w:trPr>
          <w:cantSplit/>
        </w:trPr>
        <w:tc>
          <w:tcPr>
            <w:tcW w:w="8295" w:type="dxa"/>
            <w:tcBorders>
              <w:bottom w:val="single" w:sz="12" w:space="0" w:color="22B893"/>
            </w:tcBorders>
            <w:shd w:val="clear" w:color="auto" w:fill="EAF5F0"/>
          </w:tcPr>
          <w:p w14:paraId="00EF7F4C" w14:textId="77777777" w:rsidR="00DC6AEF" w:rsidRPr="004805C8" w:rsidRDefault="00DC6AEF" w:rsidP="00DC6AEF">
            <w:pPr>
              <w:pStyle w:val="TableText"/>
              <w:keepNext/>
              <w:spacing w:before="120"/>
              <w:rPr>
                <w:b/>
                <w:sz w:val="20"/>
              </w:rPr>
            </w:pPr>
            <w:r w:rsidRPr="004805C8">
              <w:rPr>
                <w:b/>
                <w:sz w:val="20"/>
              </w:rPr>
              <w:t xml:space="preserve">Summary of options to prevent cancers related to </w:t>
            </w:r>
            <w:r>
              <w:rPr>
                <w:b/>
                <w:sz w:val="20"/>
              </w:rPr>
              <w:t>poor diet and excess body weight</w:t>
            </w:r>
          </w:p>
        </w:tc>
      </w:tr>
      <w:tr w:rsidR="00DC6AEF" w14:paraId="7D7B91E7" w14:textId="77777777" w:rsidTr="00F729B7">
        <w:trPr>
          <w:cantSplit/>
        </w:trPr>
        <w:tc>
          <w:tcPr>
            <w:tcW w:w="8295" w:type="dxa"/>
            <w:tcBorders>
              <w:top w:val="single" w:sz="12" w:space="0" w:color="22B893"/>
            </w:tcBorders>
            <w:shd w:val="clear" w:color="auto" w:fill="EAF5F0"/>
          </w:tcPr>
          <w:p w14:paraId="5233A4BF" w14:textId="77777777" w:rsidR="00DC6AEF" w:rsidRPr="00C000B2" w:rsidRDefault="00DC6AEF" w:rsidP="00DC6AEF">
            <w:pPr>
              <w:pStyle w:val="TableBullet"/>
            </w:pPr>
            <w:r w:rsidRPr="00C000B2">
              <w:t>Restrict the advertising and marketing of unhealthy foods and drinks to children and young people.</w:t>
            </w:r>
          </w:p>
          <w:p w14:paraId="22440596" w14:textId="77777777" w:rsidR="00DC6AEF" w:rsidRPr="00C000B2" w:rsidRDefault="00DC6AEF" w:rsidP="00DC6AEF">
            <w:pPr>
              <w:pStyle w:val="TableDash"/>
            </w:pPr>
            <w:r w:rsidRPr="00C000B2">
              <w:t>Enact and enforce comprehensive restrictions on the promotion and marketing of unhealthy foods and drinks across all environments, led by an independent authority.</w:t>
            </w:r>
          </w:p>
          <w:p w14:paraId="269708EF" w14:textId="77777777" w:rsidR="00DC6AEF" w:rsidRPr="00C000B2" w:rsidRDefault="00DC6AEF" w:rsidP="00DC6AEF">
            <w:pPr>
              <w:pStyle w:val="TableBullet"/>
            </w:pPr>
            <w:r w:rsidRPr="00C000B2">
              <w:t>Reduce the affordability of unhealthy foods and drinks and increase the affordability of healthy foods.</w:t>
            </w:r>
          </w:p>
          <w:p w14:paraId="0B3E9092" w14:textId="77777777" w:rsidR="00DC6AEF" w:rsidRPr="00C000B2" w:rsidRDefault="00DC6AEF" w:rsidP="00DC6AEF">
            <w:pPr>
              <w:pStyle w:val="TableDash"/>
            </w:pPr>
            <w:r w:rsidRPr="00C000B2">
              <w:t>Implement food and beverage pricing interventions.</w:t>
            </w:r>
          </w:p>
          <w:p w14:paraId="7A3CD90C" w14:textId="77777777" w:rsidR="00DC6AEF" w:rsidRPr="00C000B2" w:rsidRDefault="00DC6AEF" w:rsidP="00DC6AEF">
            <w:pPr>
              <w:pStyle w:val="TableBullet"/>
            </w:pPr>
            <w:r w:rsidRPr="00C000B2">
              <w:t>Create healthy food environments in the settings where people live, work, play and learn.</w:t>
            </w:r>
          </w:p>
          <w:p w14:paraId="0B5FA16A" w14:textId="77777777" w:rsidR="00DC6AEF" w:rsidRPr="00C000B2" w:rsidRDefault="00DC6AEF" w:rsidP="00DC6AEF">
            <w:pPr>
              <w:pStyle w:val="TableDash"/>
            </w:pPr>
            <w:r w:rsidRPr="00C000B2">
              <w:t xml:space="preserve">Restrict the number, </w:t>
            </w:r>
            <w:proofErr w:type="gramStart"/>
            <w:r w:rsidRPr="00C000B2">
              <w:t>density</w:t>
            </w:r>
            <w:proofErr w:type="gramEnd"/>
            <w:r w:rsidRPr="00C000B2">
              <w:t xml:space="preserve"> and location of unhealthy food outlets.</w:t>
            </w:r>
          </w:p>
          <w:p w14:paraId="6EC02351" w14:textId="77777777" w:rsidR="00DC6AEF" w:rsidRPr="00C000B2" w:rsidRDefault="00DC6AEF" w:rsidP="00DC6AEF">
            <w:pPr>
              <w:pStyle w:val="TableDash"/>
            </w:pPr>
            <w:r w:rsidRPr="00C000B2">
              <w:t>Mandate and support the development of healthy food and beverage policies in schools and early childcare centres.</w:t>
            </w:r>
          </w:p>
          <w:p w14:paraId="5C17C306" w14:textId="77777777" w:rsidR="00DC6AEF" w:rsidRPr="00C000B2" w:rsidRDefault="00DC6AEF" w:rsidP="00DC6AEF">
            <w:pPr>
              <w:pStyle w:val="TableDash"/>
            </w:pPr>
            <w:r w:rsidRPr="00C000B2">
              <w:t>Support communities to create healthy food and drink environments.</w:t>
            </w:r>
          </w:p>
          <w:p w14:paraId="16A1ACE7" w14:textId="77777777" w:rsidR="00DC6AEF" w:rsidRPr="00C000B2" w:rsidRDefault="00DC6AEF" w:rsidP="00DC6AEF">
            <w:pPr>
              <w:pStyle w:val="TableBullet"/>
            </w:pPr>
            <w:r w:rsidRPr="00C000B2">
              <w:t>Improve the quality of packaged foods and beverages.</w:t>
            </w:r>
          </w:p>
          <w:p w14:paraId="5372C6B9" w14:textId="77777777" w:rsidR="00DC6AEF" w:rsidRPr="00C000B2" w:rsidRDefault="00DC6AEF" w:rsidP="00DC6AEF">
            <w:pPr>
              <w:pStyle w:val="TableDash"/>
            </w:pPr>
            <w:r w:rsidRPr="00C000B2">
              <w:t>Set mandatory food reformulation targets (salt, sugar, saturated fats) for packaged food manufacturers.</w:t>
            </w:r>
          </w:p>
          <w:p w14:paraId="753E98DF" w14:textId="77777777" w:rsidR="00DC6AEF" w:rsidRDefault="00DC6AEF" w:rsidP="00DC6AEF">
            <w:pPr>
              <w:pStyle w:val="TableDash"/>
            </w:pPr>
            <w:r w:rsidRPr="00C000B2">
              <w:t>Mandate front-of-pack labelling on all packaged foods.</w:t>
            </w:r>
          </w:p>
        </w:tc>
      </w:tr>
    </w:tbl>
    <w:p w14:paraId="08994488" w14:textId="77777777" w:rsidR="00EF27EC" w:rsidRDefault="00EF27EC" w:rsidP="00990345"/>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748098C4" w14:textId="77777777" w:rsidTr="00351028">
        <w:trPr>
          <w:cantSplit/>
        </w:trPr>
        <w:tc>
          <w:tcPr>
            <w:tcW w:w="426" w:type="dxa"/>
            <w:tcBorders>
              <w:right w:val="single" w:sz="48" w:space="0" w:color="FFFFFF" w:themeColor="background1"/>
            </w:tcBorders>
            <w:shd w:val="clear" w:color="auto" w:fill="22B893"/>
          </w:tcPr>
          <w:p w14:paraId="7AE6C163" w14:textId="77777777" w:rsidR="00990345" w:rsidRDefault="00990345" w:rsidP="00351028"/>
        </w:tc>
        <w:tc>
          <w:tcPr>
            <w:tcW w:w="7371" w:type="dxa"/>
            <w:gridSpan w:val="2"/>
          </w:tcPr>
          <w:p w14:paraId="0195E4B6" w14:textId="77777777" w:rsidR="00990345" w:rsidRPr="00DC6AEF" w:rsidRDefault="00990345" w:rsidP="00351028">
            <w:pPr>
              <w:pStyle w:val="TableText"/>
              <w:rPr>
                <w:sz w:val="22"/>
                <w:szCs w:val="22"/>
              </w:rPr>
            </w:pPr>
            <w:r w:rsidRPr="0029210A">
              <w:rPr>
                <w:b/>
                <w:sz w:val="22"/>
                <w:szCs w:val="22"/>
              </w:rPr>
              <w:t xml:space="preserve">Focus area: </w:t>
            </w:r>
            <w:r w:rsidR="00DC6AEF" w:rsidRPr="00DC6AEF">
              <w:rPr>
                <w:sz w:val="22"/>
                <w:szCs w:val="22"/>
              </w:rPr>
              <w:t>Restrict the advertising and marketing of unhealthy foods and drinks to children and young people</w:t>
            </w:r>
          </w:p>
          <w:p w14:paraId="6E73C366" w14:textId="77777777" w:rsidR="00DC6AEF" w:rsidRPr="00DC6AEF" w:rsidRDefault="00DC6AEF" w:rsidP="00DC6AEF">
            <w:pPr>
              <w:pStyle w:val="TableText"/>
              <w:rPr>
                <w:sz w:val="20"/>
              </w:rPr>
            </w:pPr>
            <w:r w:rsidRPr="00DC6AEF">
              <w:rPr>
                <w:sz w:val="20"/>
              </w:rPr>
              <w:t>What do we know about the impact of food and drink marketing on children and young people?</w:t>
            </w:r>
          </w:p>
          <w:p w14:paraId="6A1C237A" w14:textId="77777777" w:rsidR="00DC6AEF" w:rsidRPr="00C000B2" w:rsidRDefault="00DC6AEF" w:rsidP="00DC6AEF">
            <w:pPr>
              <w:pStyle w:val="TableText"/>
            </w:pPr>
            <w:r w:rsidRPr="00C000B2">
              <w:t>In Aotearoa, unhealthy foods are heavily marketed, and children and young people are particularly susceptible to unhealthy food marketing messages.</w:t>
            </w:r>
            <w:r w:rsidRPr="00DC6AEF">
              <w:rPr>
                <w:vertAlign w:val="superscript"/>
              </w:rPr>
              <w:t>202</w:t>
            </w:r>
            <w:r w:rsidRPr="00C000B2">
              <w:t xml:space="preserve"> Children in Aotearoa are exposed to unhealthy food marketing on average 27 times per day, which is twice the amount of their exposure to healthy food</w:t>
            </w:r>
            <w:r>
              <w:t xml:space="preserve"> </w:t>
            </w:r>
            <w:r w:rsidRPr="00C000B2">
              <w:t>advertising.</w:t>
            </w:r>
            <w:r w:rsidRPr="00DC6AEF">
              <w:rPr>
                <w:vertAlign w:val="superscript"/>
              </w:rPr>
              <w:t>203</w:t>
            </w:r>
            <w:r w:rsidRPr="00C000B2">
              <w:t xml:space="preserve"> This occurs in multiple </w:t>
            </w:r>
            <w:proofErr w:type="gramStart"/>
            <w:r w:rsidRPr="00C000B2">
              <w:t>settings, and</w:t>
            </w:r>
            <w:proofErr w:type="gramEnd"/>
            <w:r w:rsidRPr="00C000B2">
              <w:t xml:space="preserve"> is not limited to marketing directed at or to children.</w:t>
            </w:r>
            <w:r w:rsidRPr="00DC6AEF">
              <w:rPr>
                <w:vertAlign w:val="superscript"/>
              </w:rPr>
              <w:t>204</w:t>
            </w:r>
          </w:p>
          <w:p w14:paraId="5489FBA0" w14:textId="77777777" w:rsidR="00DC6AEF" w:rsidRPr="00C000B2" w:rsidRDefault="00DC6AEF" w:rsidP="00DC6AEF">
            <w:pPr>
              <w:pStyle w:val="TableText"/>
            </w:pPr>
            <w:r w:rsidRPr="00C000B2">
              <w:t>Marketing and advertising of unhealthy foods and beverages can influence children’s food preferences, encourage repeated purchase and consumption, increase the amount of food eaten immediately</w:t>
            </w:r>
            <w:r>
              <w:t xml:space="preserve"> </w:t>
            </w:r>
            <w:r w:rsidRPr="00C000B2">
              <w:t>after viewing an advertisement and contribute to excess body weight in children.</w:t>
            </w:r>
            <w:r w:rsidRPr="00DC6AEF">
              <w:rPr>
                <w:vertAlign w:val="superscript"/>
              </w:rPr>
              <w:t>205</w:t>
            </w:r>
            <w:r>
              <w:rPr>
                <w:vertAlign w:val="superscript"/>
              </w:rPr>
              <w:t>–</w:t>
            </w:r>
            <w:r w:rsidRPr="00DC6AEF">
              <w:rPr>
                <w:vertAlign w:val="superscript"/>
              </w:rPr>
              <w:t>210</w:t>
            </w:r>
            <w:r w:rsidRPr="00C000B2">
              <w:t xml:space="preserve"> Childhood food preferences and excess body weight can continue through to adulthood.</w:t>
            </w:r>
            <w:r w:rsidRPr="00DC6AEF">
              <w:rPr>
                <w:vertAlign w:val="superscript"/>
              </w:rPr>
              <w:t>206,</w:t>
            </w:r>
            <w:r>
              <w:rPr>
                <w:vertAlign w:val="superscript"/>
              </w:rPr>
              <w:t> </w:t>
            </w:r>
            <w:r w:rsidRPr="00DC6AEF">
              <w:rPr>
                <w:vertAlign w:val="superscript"/>
              </w:rPr>
              <w:t>211</w:t>
            </w:r>
            <w:r w:rsidRPr="00C000B2">
              <w:t xml:space="preserve"> Some evidence indicates that advertising of unhealthy foods also influences adults’ purchases and consumption of these foods.</w:t>
            </w:r>
            <w:r w:rsidRPr="00DC6AEF">
              <w:rPr>
                <w:vertAlign w:val="superscript"/>
              </w:rPr>
              <w:t>212</w:t>
            </w:r>
          </w:p>
          <w:p w14:paraId="4C871013" w14:textId="77777777" w:rsidR="00990345" w:rsidRDefault="00DC6AEF" w:rsidP="00DC6AEF">
            <w:pPr>
              <w:pStyle w:val="TableText"/>
            </w:pPr>
            <w:r w:rsidRPr="00C000B2">
              <w:t>Advertising in digital games increases consumption of unhealthy foods and beverages by children and young people.</w:t>
            </w:r>
            <w:r w:rsidRPr="00DC6AEF">
              <w:rPr>
                <w:vertAlign w:val="superscript"/>
              </w:rPr>
              <w:t>206</w:t>
            </w:r>
            <w:r w:rsidRPr="00C000B2">
              <w:t xml:space="preserve"> Unhealthy food and drink companies continue to sponsor popular adult sports teams and competitions.</w:t>
            </w:r>
            <w:r w:rsidRPr="00DC6AEF">
              <w:rPr>
                <w:vertAlign w:val="superscript"/>
              </w:rPr>
              <w:t>205</w:t>
            </w:r>
          </w:p>
        </w:tc>
      </w:tr>
      <w:tr w:rsidR="00990345" w14:paraId="1550D44D" w14:textId="77777777" w:rsidTr="00351028">
        <w:trPr>
          <w:cantSplit/>
        </w:trPr>
        <w:tc>
          <w:tcPr>
            <w:tcW w:w="426" w:type="dxa"/>
            <w:tcBorders>
              <w:right w:val="single" w:sz="48" w:space="0" w:color="FFFFFF" w:themeColor="background1"/>
            </w:tcBorders>
            <w:shd w:val="clear" w:color="auto" w:fill="22B893"/>
          </w:tcPr>
          <w:p w14:paraId="04719EAD" w14:textId="77777777" w:rsidR="00990345" w:rsidRDefault="00990345" w:rsidP="00351028"/>
        </w:tc>
        <w:tc>
          <w:tcPr>
            <w:tcW w:w="304" w:type="dxa"/>
            <w:shd w:val="clear" w:color="auto" w:fill="F37973"/>
          </w:tcPr>
          <w:p w14:paraId="15E115E9" w14:textId="77777777" w:rsidR="00990345" w:rsidRPr="0029210A" w:rsidRDefault="00990345" w:rsidP="00351028">
            <w:pPr>
              <w:pStyle w:val="TableText"/>
            </w:pPr>
          </w:p>
        </w:tc>
        <w:tc>
          <w:tcPr>
            <w:tcW w:w="7067" w:type="dxa"/>
          </w:tcPr>
          <w:p w14:paraId="771254EC" w14:textId="77777777" w:rsidR="00990345" w:rsidRPr="0029210A" w:rsidRDefault="00DC6AEF" w:rsidP="00351028">
            <w:pPr>
              <w:pStyle w:val="TableText"/>
              <w:ind w:left="113"/>
            </w:pPr>
            <w:r w:rsidRPr="00C000B2">
              <w:t>Māori children are exposed to outdoor advertising of unhealthy food 1.5 times more than New Zealand European children and to fast food advertising at almost double the rate of New Zealand European children.</w:t>
            </w:r>
            <w:r w:rsidRPr="00DC6AEF">
              <w:rPr>
                <w:vertAlign w:val="superscript"/>
              </w:rPr>
              <w:t>203</w:t>
            </w:r>
          </w:p>
        </w:tc>
      </w:tr>
    </w:tbl>
    <w:p w14:paraId="58ED5D78" w14:textId="77777777" w:rsidR="00EF27EC" w:rsidRDefault="00EF27EC" w:rsidP="00D61486">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253"/>
        <w:gridCol w:w="3827"/>
      </w:tblGrid>
      <w:tr w:rsidR="0029210A" w:rsidRPr="00AB3864" w14:paraId="001A8A47" w14:textId="77777777" w:rsidTr="00AB11A2">
        <w:trPr>
          <w:cantSplit/>
        </w:trPr>
        <w:tc>
          <w:tcPr>
            <w:tcW w:w="8080" w:type="dxa"/>
            <w:gridSpan w:val="2"/>
            <w:tcBorders>
              <w:bottom w:val="nil"/>
            </w:tcBorders>
            <w:shd w:val="clear" w:color="auto" w:fill="D7EDE4"/>
          </w:tcPr>
          <w:p w14:paraId="2527BA15" w14:textId="77777777" w:rsidR="0029210A" w:rsidRPr="00AB3864" w:rsidRDefault="0029210A" w:rsidP="00D61486">
            <w:pPr>
              <w:pStyle w:val="TableText"/>
              <w:spacing w:before="120"/>
              <w:rPr>
                <w:b/>
                <w:sz w:val="22"/>
                <w:szCs w:val="22"/>
              </w:rPr>
            </w:pPr>
            <w:r w:rsidRPr="00AB3864">
              <w:rPr>
                <w:b/>
                <w:sz w:val="22"/>
                <w:szCs w:val="22"/>
              </w:rPr>
              <w:t xml:space="preserve">Action: </w:t>
            </w:r>
            <w:r w:rsidR="00D61486" w:rsidRPr="00D61486">
              <w:rPr>
                <w:sz w:val="22"/>
                <w:szCs w:val="22"/>
              </w:rPr>
              <w:t>Enact and enforce comprehensive restrictions on the promotion and marketing of unhealthy foods and drinks across all environments, led by an independent authority</w:t>
            </w:r>
          </w:p>
        </w:tc>
      </w:tr>
      <w:tr w:rsidR="0029210A" w14:paraId="7CCB05A9" w14:textId="77777777" w:rsidTr="008F7096">
        <w:trPr>
          <w:cantSplit/>
        </w:trPr>
        <w:tc>
          <w:tcPr>
            <w:tcW w:w="4253" w:type="dxa"/>
            <w:tcBorders>
              <w:top w:val="nil"/>
              <w:bottom w:val="single" w:sz="8" w:space="0" w:color="22B893"/>
              <w:right w:val="dashed" w:sz="4" w:space="0" w:color="22B893"/>
            </w:tcBorders>
          </w:tcPr>
          <w:p w14:paraId="153786AF" w14:textId="77777777" w:rsidR="0029210A" w:rsidRPr="00AB3864" w:rsidRDefault="0029210A" w:rsidP="00AB11A2">
            <w:pPr>
              <w:pStyle w:val="TableText"/>
              <w:ind w:right="142"/>
              <w:rPr>
                <w:sz w:val="20"/>
              </w:rPr>
            </w:pPr>
            <w:r w:rsidRPr="00AB3864">
              <w:rPr>
                <w:sz w:val="20"/>
              </w:rPr>
              <w:t>What is the evidence?</w:t>
            </w:r>
          </w:p>
          <w:p w14:paraId="0E36A698" w14:textId="77777777" w:rsidR="00D61486" w:rsidRPr="008F7096" w:rsidRDefault="00D61486" w:rsidP="008F7096">
            <w:pPr>
              <w:pStyle w:val="TableText"/>
              <w:ind w:right="113"/>
            </w:pPr>
            <w:r w:rsidRPr="008F7096">
              <w:t>Comprehensive and mandatory marketing restrictions are effective at reducing the exposure of children and young people to unhealthy food marketing.</w:t>
            </w:r>
            <w:r w:rsidRPr="008F7096">
              <w:rPr>
                <w:vertAlign w:val="superscript"/>
              </w:rPr>
              <w:t>213–215</w:t>
            </w:r>
            <w:r w:rsidRPr="008F7096">
              <w:t xml:space="preserve"> Countries with restrictions on junk food broadcast marketing have reduced sales of junk food per person compared with countries that have no such restrictions.</w:t>
            </w:r>
            <w:r w:rsidRPr="008F7096">
              <w:rPr>
                <w:vertAlign w:val="superscript"/>
              </w:rPr>
              <w:t>216</w:t>
            </w:r>
            <w:r w:rsidRPr="008F7096">
              <w:t xml:space="preserve"> Non-mandatory regulation of unhealthy food advertising and marketing has limited or no impact on children’s exposure to marketing of these products,</w:t>
            </w:r>
            <w:r w:rsidRPr="008F7096">
              <w:rPr>
                <w:vertAlign w:val="superscript"/>
              </w:rPr>
              <w:t>215, 217</w:t>
            </w:r>
            <w:r w:rsidRPr="008F7096">
              <w:t xml:space="preserve"> even when adherence to these advertising codes is very high.</w:t>
            </w:r>
            <w:r w:rsidRPr="008F7096">
              <w:rPr>
                <w:vertAlign w:val="superscript"/>
              </w:rPr>
              <w:t>218</w:t>
            </w:r>
          </w:p>
          <w:p w14:paraId="61A1CDD8" w14:textId="77777777" w:rsidR="00D61486" w:rsidRPr="008F7096" w:rsidRDefault="00D61486" w:rsidP="00D61486">
            <w:pPr>
              <w:pStyle w:val="TableText"/>
              <w:ind w:right="113"/>
              <w:rPr>
                <w:spacing w:val="-2"/>
              </w:rPr>
            </w:pPr>
            <w:r w:rsidRPr="008F7096">
              <w:rPr>
                <w:spacing w:val="-2"/>
              </w:rPr>
              <w:t>Internationally, support for advertising bans and restrictions is increasing. Forty-five countries have introduced legislation to limit the exposure of children and young people to advertising and marketing of unhealthy foods.</w:t>
            </w:r>
            <w:r w:rsidRPr="008F7096">
              <w:rPr>
                <w:spacing w:val="-2"/>
                <w:vertAlign w:val="superscript"/>
              </w:rPr>
              <w:t>219</w:t>
            </w:r>
          </w:p>
          <w:p w14:paraId="1762C573" w14:textId="77777777" w:rsidR="0029210A" w:rsidRDefault="00D61486" w:rsidP="008F7096">
            <w:pPr>
              <w:pStyle w:val="TableText"/>
              <w:ind w:right="113"/>
            </w:pPr>
            <w:r w:rsidRPr="00C000B2">
              <w:t>The United Kingdom has recently moved to completely ban advertising of unhealthy foods and drinks on television and online before 9</w:t>
            </w:r>
            <w:r w:rsidR="008F7096">
              <w:t> </w:t>
            </w:r>
            <w:r w:rsidRPr="00C000B2">
              <w:t>pm and to restrict two-for-one food promotions from the end of 2022.</w:t>
            </w:r>
            <w:r w:rsidRPr="00D61486">
              <w:rPr>
                <w:vertAlign w:val="superscript"/>
              </w:rPr>
              <w:t>220</w:t>
            </w:r>
            <w:r w:rsidRPr="00C000B2">
              <w:t xml:space="preserve"> The initiative has the support of over 70</w:t>
            </w:r>
            <w:r>
              <w:t> </w:t>
            </w:r>
            <w:r w:rsidRPr="00C000B2">
              <w:t>percent of the public.</w:t>
            </w:r>
            <w:r w:rsidRPr="00D61486">
              <w:rPr>
                <w:vertAlign w:val="superscript"/>
              </w:rPr>
              <w:t>221</w:t>
            </w:r>
          </w:p>
        </w:tc>
        <w:tc>
          <w:tcPr>
            <w:tcW w:w="3827" w:type="dxa"/>
            <w:tcBorders>
              <w:top w:val="nil"/>
              <w:left w:val="dashed" w:sz="4" w:space="0" w:color="22B893"/>
              <w:bottom w:val="single" w:sz="8" w:space="0" w:color="22B893"/>
            </w:tcBorders>
          </w:tcPr>
          <w:p w14:paraId="433D7AA2" w14:textId="77777777" w:rsidR="0029210A" w:rsidRPr="00AB3864" w:rsidRDefault="0029210A" w:rsidP="00AB11A2">
            <w:pPr>
              <w:pStyle w:val="TableText"/>
              <w:ind w:left="113"/>
              <w:rPr>
                <w:sz w:val="20"/>
              </w:rPr>
            </w:pPr>
            <w:r w:rsidRPr="00AB3864">
              <w:rPr>
                <w:sz w:val="20"/>
              </w:rPr>
              <w:t>What is Aotearoa doing currently?</w:t>
            </w:r>
          </w:p>
          <w:p w14:paraId="289678FC" w14:textId="77777777" w:rsidR="00D61486" w:rsidRPr="008F7096" w:rsidRDefault="00D61486" w:rsidP="008F7096">
            <w:pPr>
              <w:pStyle w:val="TableText"/>
              <w:ind w:left="113"/>
              <w:rPr>
                <w:spacing w:val="-2"/>
              </w:rPr>
            </w:pPr>
            <w:r w:rsidRPr="008F7096">
              <w:rPr>
                <w:spacing w:val="-2"/>
              </w:rPr>
              <w:t>A voluntary, self-regulatory Children and Young People’s Advertising (CYPA) Code was introduced in 2017, which puts some voluntary restrictions on the advertising of unhealthy foods and drinks to children and young people.</w:t>
            </w:r>
            <w:r w:rsidRPr="008F7096">
              <w:rPr>
                <w:spacing w:val="-2"/>
                <w:vertAlign w:val="superscript"/>
              </w:rPr>
              <w:t>215</w:t>
            </w:r>
            <w:r w:rsidRPr="008F7096">
              <w:rPr>
                <w:spacing w:val="-2"/>
              </w:rPr>
              <w:t xml:space="preserve"> However, the CYPA Code does not include any restrictions on the amount or the spread of advertising, and does not cover product packaging, bona fide news, reviews, editorial and broadcast programmes, social and digital media or sponsorship.</w:t>
            </w:r>
            <w:r w:rsidRPr="008F7096">
              <w:rPr>
                <w:spacing w:val="-2"/>
                <w:vertAlign w:val="superscript"/>
              </w:rPr>
              <w:t>222</w:t>
            </w:r>
            <w:r w:rsidRPr="008F7096">
              <w:rPr>
                <w:spacing w:val="-2"/>
              </w:rPr>
              <w:t xml:space="preserve"> A recent review concluded that the system is not ‘effective, transparent or sufficiently accountable to protect New Zealand children and young people’.</w:t>
            </w:r>
            <w:r w:rsidRPr="008F7096">
              <w:rPr>
                <w:spacing w:val="-2"/>
                <w:vertAlign w:val="superscript"/>
              </w:rPr>
              <w:t>215</w:t>
            </w:r>
          </w:p>
          <w:p w14:paraId="2FAC371C" w14:textId="77777777" w:rsidR="0029210A" w:rsidRDefault="00D61486" w:rsidP="00D61486">
            <w:pPr>
              <w:pStyle w:val="TableText"/>
              <w:ind w:left="113"/>
            </w:pPr>
            <w:r w:rsidRPr="00C000B2">
              <w:t>Unhealthy food and drink companies sponsor popular adult sports teams and competitions such as the All Blacks (Gatorade) and Super Rugby (KFC). Companies also sponsor children’s sports such as football (McDonald’s) and use marketing activities, such as merchandise and player of the day certificates, to repeatedly expose children to their brands.</w:t>
            </w:r>
            <w:r w:rsidRPr="00D61486">
              <w:rPr>
                <w:vertAlign w:val="superscript"/>
              </w:rPr>
              <w:t>205</w:t>
            </w:r>
          </w:p>
        </w:tc>
      </w:tr>
    </w:tbl>
    <w:p w14:paraId="13A51218" w14:textId="77777777" w:rsidR="0029210A" w:rsidRPr="00C000B2" w:rsidRDefault="0029210A" w:rsidP="00714DC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3272A4C2" w14:textId="77777777" w:rsidTr="00351028">
        <w:trPr>
          <w:cantSplit/>
        </w:trPr>
        <w:tc>
          <w:tcPr>
            <w:tcW w:w="426" w:type="dxa"/>
            <w:tcBorders>
              <w:right w:val="single" w:sz="48" w:space="0" w:color="FFFFFF" w:themeColor="background1"/>
            </w:tcBorders>
            <w:shd w:val="clear" w:color="auto" w:fill="22B893"/>
          </w:tcPr>
          <w:p w14:paraId="3EB3D333" w14:textId="77777777" w:rsidR="00990345" w:rsidRDefault="00990345" w:rsidP="00351028"/>
        </w:tc>
        <w:tc>
          <w:tcPr>
            <w:tcW w:w="7371" w:type="dxa"/>
            <w:gridSpan w:val="2"/>
          </w:tcPr>
          <w:p w14:paraId="13BA1303" w14:textId="77777777" w:rsidR="00990345" w:rsidRPr="003E7142" w:rsidRDefault="00990345" w:rsidP="00351028">
            <w:pPr>
              <w:pStyle w:val="TableText"/>
              <w:rPr>
                <w:sz w:val="22"/>
                <w:szCs w:val="22"/>
              </w:rPr>
            </w:pPr>
            <w:r w:rsidRPr="0029210A">
              <w:rPr>
                <w:b/>
                <w:sz w:val="22"/>
                <w:szCs w:val="22"/>
              </w:rPr>
              <w:t xml:space="preserve">Focus area: </w:t>
            </w:r>
            <w:r w:rsidR="003E7142" w:rsidRPr="003E7142">
              <w:rPr>
                <w:sz w:val="22"/>
                <w:szCs w:val="22"/>
              </w:rPr>
              <w:t>Reduce the affordability of unhealthy foods and drinks and increase the affordability of healthy foods</w:t>
            </w:r>
          </w:p>
          <w:p w14:paraId="64781881" w14:textId="77777777" w:rsidR="003E7142" w:rsidRPr="001F1459" w:rsidRDefault="003E7142" w:rsidP="003E7142">
            <w:pPr>
              <w:pStyle w:val="TableText"/>
              <w:rPr>
                <w:sz w:val="20"/>
              </w:rPr>
            </w:pPr>
            <w:r w:rsidRPr="001F1459">
              <w:rPr>
                <w:sz w:val="20"/>
              </w:rPr>
              <w:t>What do we know about the impact of price and affordability on purchase and consumption of food and beverages?</w:t>
            </w:r>
          </w:p>
          <w:p w14:paraId="6E50F277" w14:textId="77777777" w:rsidR="00990345" w:rsidRDefault="003E7142" w:rsidP="003E7142">
            <w:pPr>
              <w:pStyle w:val="TableText"/>
            </w:pPr>
            <w:r w:rsidRPr="00C000B2">
              <w:t>Cost and affordability influence the amount of fruit and vegetables people eat.</w:t>
            </w:r>
            <w:r w:rsidRPr="003E7142">
              <w:rPr>
                <w:vertAlign w:val="superscript"/>
              </w:rPr>
              <w:t>223–225</w:t>
            </w:r>
            <w:r w:rsidRPr="00C000B2">
              <w:t xml:space="preserve"> The purchase and consumption of sugary drinks has </w:t>
            </w:r>
            <w:proofErr w:type="gramStart"/>
            <w:r w:rsidRPr="00C000B2">
              <w:t>decreased</w:t>
            </w:r>
            <w:proofErr w:type="gramEnd"/>
            <w:r w:rsidRPr="00C000B2">
              <w:t xml:space="preserve"> and bottled water use has increased in countries where sugar-sweetened beverage excise taxes have made sugary drinks more expensive.</w:t>
            </w:r>
            <w:r w:rsidRPr="003E7142">
              <w:rPr>
                <w:vertAlign w:val="superscript"/>
              </w:rPr>
              <w:t>226</w:t>
            </w:r>
          </w:p>
        </w:tc>
      </w:tr>
      <w:tr w:rsidR="00990345" w14:paraId="540ED1E6" w14:textId="77777777" w:rsidTr="00351028">
        <w:trPr>
          <w:cantSplit/>
        </w:trPr>
        <w:tc>
          <w:tcPr>
            <w:tcW w:w="426" w:type="dxa"/>
            <w:tcBorders>
              <w:right w:val="single" w:sz="48" w:space="0" w:color="FFFFFF" w:themeColor="background1"/>
            </w:tcBorders>
            <w:shd w:val="clear" w:color="auto" w:fill="22B893"/>
          </w:tcPr>
          <w:p w14:paraId="7327851C" w14:textId="77777777" w:rsidR="00990345" w:rsidRDefault="00990345" w:rsidP="00351028"/>
        </w:tc>
        <w:tc>
          <w:tcPr>
            <w:tcW w:w="304" w:type="dxa"/>
            <w:shd w:val="clear" w:color="auto" w:fill="F37973"/>
          </w:tcPr>
          <w:p w14:paraId="4E2A6CD2" w14:textId="77777777" w:rsidR="00990345" w:rsidRPr="0029210A" w:rsidRDefault="00990345" w:rsidP="00351028">
            <w:pPr>
              <w:pStyle w:val="TableText"/>
            </w:pPr>
          </w:p>
        </w:tc>
        <w:tc>
          <w:tcPr>
            <w:tcW w:w="7067" w:type="dxa"/>
          </w:tcPr>
          <w:p w14:paraId="4C9D92A0" w14:textId="77777777" w:rsidR="00990345" w:rsidRPr="0029210A" w:rsidRDefault="003E7142" w:rsidP="00351028">
            <w:pPr>
              <w:pStyle w:val="TableText"/>
              <w:ind w:left="113"/>
            </w:pPr>
            <w:r w:rsidRPr="00C000B2">
              <w:t>Changes in food and beverage prices have a greater impact on people on low incomes.</w:t>
            </w:r>
            <w:r w:rsidRPr="003E7142">
              <w:rPr>
                <w:vertAlign w:val="superscript"/>
              </w:rPr>
              <w:t>227</w:t>
            </w:r>
          </w:p>
        </w:tc>
      </w:tr>
    </w:tbl>
    <w:p w14:paraId="57975339" w14:textId="77777777" w:rsidR="00990345" w:rsidRPr="00C000B2" w:rsidRDefault="00990345" w:rsidP="003E7142">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3402"/>
      </w:tblGrid>
      <w:tr w:rsidR="0029210A" w:rsidRPr="00AB3864" w14:paraId="0B7718C8" w14:textId="77777777" w:rsidTr="00AB11A2">
        <w:trPr>
          <w:cantSplit/>
        </w:trPr>
        <w:tc>
          <w:tcPr>
            <w:tcW w:w="8080" w:type="dxa"/>
            <w:gridSpan w:val="2"/>
            <w:tcBorders>
              <w:bottom w:val="nil"/>
            </w:tcBorders>
            <w:shd w:val="clear" w:color="auto" w:fill="D7EDE4"/>
          </w:tcPr>
          <w:p w14:paraId="63609669" w14:textId="77777777" w:rsidR="0029210A" w:rsidRPr="00AB3864" w:rsidRDefault="0029210A" w:rsidP="00327D8A">
            <w:pPr>
              <w:pStyle w:val="TableText"/>
              <w:spacing w:before="120"/>
              <w:rPr>
                <w:b/>
                <w:sz w:val="22"/>
                <w:szCs w:val="22"/>
              </w:rPr>
            </w:pPr>
            <w:r w:rsidRPr="00AB3864">
              <w:rPr>
                <w:b/>
                <w:sz w:val="22"/>
                <w:szCs w:val="22"/>
              </w:rPr>
              <w:t xml:space="preserve">Action: </w:t>
            </w:r>
            <w:r w:rsidR="003E7142" w:rsidRPr="003E7142">
              <w:rPr>
                <w:sz w:val="22"/>
                <w:szCs w:val="22"/>
              </w:rPr>
              <w:t>Implement food and beverage pricing interventions</w:t>
            </w:r>
          </w:p>
        </w:tc>
      </w:tr>
      <w:tr w:rsidR="0029210A" w14:paraId="31F89E97" w14:textId="77777777" w:rsidTr="00AB11A2">
        <w:trPr>
          <w:cantSplit/>
        </w:trPr>
        <w:tc>
          <w:tcPr>
            <w:tcW w:w="4678" w:type="dxa"/>
            <w:tcBorders>
              <w:top w:val="nil"/>
              <w:bottom w:val="single" w:sz="8" w:space="0" w:color="22B893"/>
              <w:right w:val="dashed" w:sz="4" w:space="0" w:color="22B893"/>
            </w:tcBorders>
          </w:tcPr>
          <w:p w14:paraId="72FE73F0" w14:textId="77777777" w:rsidR="0029210A" w:rsidRPr="00AB3864" w:rsidRDefault="0029210A" w:rsidP="00AB11A2">
            <w:pPr>
              <w:pStyle w:val="TableText"/>
              <w:ind w:right="142"/>
              <w:rPr>
                <w:sz w:val="20"/>
              </w:rPr>
            </w:pPr>
            <w:r w:rsidRPr="00AB3864">
              <w:rPr>
                <w:sz w:val="20"/>
              </w:rPr>
              <w:t>What is the evidence?</w:t>
            </w:r>
          </w:p>
          <w:p w14:paraId="26B2C2BD" w14:textId="77777777" w:rsidR="003E7142" w:rsidRPr="00C000B2" w:rsidRDefault="003E7142" w:rsidP="003E7142">
            <w:pPr>
              <w:pStyle w:val="TableText"/>
              <w:ind w:right="113"/>
            </w:pPr>
            <w:r w:rsidRPr="00C000B2">
              <w:t>Making unhealthy foods less affordable and making healthy foods more affordable has the potential, if designed carefully, to improve health and be pro</w:t>
            </w:r>
            <w:r>
              <w:noBreakHyphen/>
            </w:r>
            <w:r w:rsidRPr="00C000B2">
              <w:t>equity.</w:t>
            </w:r>
            <w:r w:rsidRPr="003E7142">
              <w:rPr>
                <w:vertAlign w:val="superscript"/>
              </w:rPr>
              <w:t>228</w:t>
            </w:r>
          </w:p>
          <w:p w14:paraId="32E58C93" w14:textId="77777777" w:rsidR="003E7142" w:rsidRPr="00C000B2" w:rsidRDefault="003E7142" w:rsidP="003E7142">
            <w:pPr>
              <w:pStyle w:val="TableText"/>
              <w:ind w:right="113"/>
            </w:pPr>
            <w:r w:rsidRPr="00C000B2">
              <w:t>Targeted food subsidies can influence dietary behaviour, with a greater effect if used in combination with taxation of unhealthy food and beverages.</w:t>
            </w:r>
            <w:r w:rsidRPr="003E7142">
              <w:rPr>
                <w:vertAlign w:val="superscript"/>
              </w:rPr>
              <w:t>229,</w:t>
            </w:r>
            <w:r>
              <w:rPr>
                <w:vertAlign w:val="superscript"/>
              </w:rPr>
              <w:t> </w:t>
            </w:r>
            <w:r w:rsidRPr="003E7142">
              <w:rPr>
                <w:vertAlign w:val="superscript"/>
              </w:rPr>
              <w:t>230</w:t>
            </w:r>
            <w:r w:rsidRPr="00C000B2">
              <w:t xml:space="preserve"> In Australia, research has shown</w:t>
            </w:r>
            <w:r>
              <w:t xml:space="preserve"> </w:t>
            </w:r>
            <w:r w:rsidRPr="00C000B2">
              <w:t>that subsidising fruits and vegetables increases purchases of these foods among indigenous populations in rural or remote communities.</w:t>
            </w:r>
            <w:r w:rsidRPr="003E7142">
              <w:rPr>
                <w:vertAlign w:val="superscript"/>
              </w:rPr>
              <w:t>231</w:t>
            </w:r>
            <w:r w:rsidRPr="00C000B2">
              <w:t xml:space="preserve"> A subsidy on fruit and vegetables in Aotearoa can improve diet quality,</w:t>
            </w:r>
            <w:r w:rsidRPr="003E7142">
              <w:rPr>
                <w:vertAlign w:val="superscript"/>
              </w:rPr>
              <w:t>232</w:t>
            </w:r>
            <w:r w:rsidRPr="00C000B2">
              <w:t xml:space="preserve"> improve health and reduce cancer-related mortality.</w:t>
            </w:r>
            <w:r w:rsidRPr="003E7142">
              <w:rPr>
                <w:vertAlign w:val="superscript"/>
              </w:rPr>
              <w:t>232, 233</w:t>
            </w:r>
          </w:p>
          <w:p w14:paraId="2B4EBAEC" w14:textId="77777777" w:rsidR="003E7142" w:rsidRPr="00C000B2" w:rsidRDefault="003E7142" w:rsidP="003E7142">
            <w:pPr>
              <w:pStyle w:val="TableText"/>
              <w:ind w:right="113"/>
            </w:pPr>
            <w:r w:rsidRPr="00C000B2">
              <w:t>Sugar-sweetened beverage (SSB) taxes reduce consumption of these beverages,</w:t>
            </w:r>
            <w:r w:rsidRPr="003E7142">
              <w:rPr>
                <w:vertAlign w:val="superscript"/>
              </w:rPr>
              <w:t>226, 228</w:t>
            </w:r>
            <w:r w:rsidRPr="00C000B2">
              <w:t xml:space="preserve"> although there is a lack of consensus as to whether overall sugar consumption is reduced. There are other mechanisms of benefit, including incentivising the industry to reformulate (reduce sugar content in drinks).</w:t>
            </w:r>
            <w:r w:rsidRPr="003E7142">
              <w:rPr>
                <w:vertAlign w:val="superscript"/>
              </w:rPr>
              <w:t>234</w:t>
            </w:r>
          </w:p>
          <w:p w14:paraId="0665A935" w14:textId="77777777" w:rsidR="0029210A" w:rsidRDefault="003E7142" w:rsidP="003E7142">
            <w:pPr>
              <w:pStyle w:val="TableText"/>
              <w:ind w:right="113"/>
            </w:pPr>
            <w:r w:rsidRPr="00C000B2">
              <w:t>Countries with taxes on unhealthy foods and beverages include Hungary</w:t>
            </w:r>
            <w:r w:rsidRPr="003E7142">
              <w:rPr>
                <w:vertAlign w:val="superscript"/>
              </w:rPr>
              <w:t>235</w:t>
            </w:r>
            <w:r w:rsidRPr="00C000B2">
              <w:t xml:space="preserve"> and Mexico.</w:t>
            </w:r>
            <w:r w:rsidRPr="003E7142">
              <w:rPr>
                <w:vertAlign w:val="superscript"/>
              </w:rPr>
              <w:t>236</w:t>
            </w:r>
            <w:r w:rsidRPr="00C000B2">
              <w:t xml:space="preserve"> About 50</w:t>
            </w:r>
            <w:r>
              <w:t> </w:t>
            </w:r>
            <w:r w:rsidRPr="00C000B2">
              <w:t xml:space="preserve">countries have introduced a SSB tax (as </w:t>
            </w:r>
            <w:proofErr w:type="gramStart"/>
            <w:r w:rsidRPr="00C000B2">
              <w:t>at</w:t>
            </w:r>
            <w:proofErr w:type="gramEnd"/>
            <w:r w:rsidRPr="00C000B2">
              <w:t xml:space="preserve"> August 2021).</w:t>
            </w:r>
            <w:r w:rsidRPr="003E7142">
              <w:rPr>
                <w:vertAlign w:val="superscript"/>
              </w:rPr>
              <w:t>237</w:t>
            </w:r>
          </w:p>
        </w:tc>
        <w:tc>
          <w:tcPr>
            <w:tcW w:w="3402" w:type="dxa"/>
            <w:tcBorders>
              <w:top w:val="nil"/>
              <w:left w:val="dashed" w:sz="4" w:space="0" w:color="22B893"/>
              <w:bottom w:val="single" w:sz="8" w:space="0" w:color="22B893"/>
            </w:tcBorders>
          </w:tcPr>
          <w:p w14:paraId="051915F2" w14:textId="77777777" w:rsidR="0029210A" w:rsidRPr="00AB3864" w:rsidRDefault="0029210A" w:rsidP="00AB11A2">
            <w:pPr>
              <w:pStyle w:val="TableText"/>
              <w:ind w:left="113"/>
              <w:rPr>
                <w:sz w:val="20"/>
              </w:rPr>
            </w:pPr>
            <w:r w:rsidRPr="00AB3864">
              <w:rPr>
                <w:sz w:val="20"/>
              </w:rPr>
              <w:t>What is Aotearoa doing currently?</w:t>
            </w:r>
          </w:p>
          <w:p w14:paraId="2E6BA787" w14:textId="77777777" w:rsidR="003E7142" w:rsidRPr="00C000B2" w:rsidRDefault="003E7142" w:rsidP="003E7142">
            <w:pPr>
              <w:pStyle w:val="TableText"/>
              <w:ind w:left="113"/>
            </w:pPr>
            <w:r w:rsidRPr="00C000B2">
              <w:t>Aotearoa has no taxes on unhealthy foods or beverages.</w:t>
            </w:r>
          </w:p>
          <w:p w14:paraId="7306ABE0" w14:textId="77777777" w:rsidR="003E7142" w:rsidRPr="00C000B2" w:rsidRDefault="003E7142" w:rsidP="003E7142">
            <w:pPr>
              <w:pStyle w:val="TableText"/>
              <w:ind w:left="113"/>
            </w:pPr>
            <w:r w:rsidRPr="00C000B2">
              <w:t>Fruits and vegetables are not subsidised in Aotearoa and incur goods and services tax.</w:t>
            </w:r>
          </w:p>
          <w:p w14:paraId="61FC954D" w14:textId="77777777" w:rsidR="0029210A" w:rsidRDefault="003E7142" w:rsidP="003E7142">
            <w:pPr>
              <w:pStyle w:val="TableText"/>
              <w:ind w:left="113"/>
            </w:pPr>
            <w:r w:rsidRPr="00C000B2">
              <w:t>The Ministry of Health funds a Fruit in Schools programme, which provides children in low-decile schools with one piece of fruit each day.238</w:t>
            </w:r>
          </w:p>
        </w:tc>
      </w:tr>
    </w:tbl>
    <w:p w14:paraId="29E8C4BF" w14:textId="77777777" w:rsidR="0029210A" w:rsidRPr="00C000B2" w:rsidRDefault="0029210A" w:rsidP="00327D8A">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395FA005" w14:textId="77777777" w:rsidTr="00351028">
        <w:trPr>
          <w:cantSplit/>
        </w:trPr>
        <w:tc>
          <w:tcPr>
            <w:tcW w:w="426" w:type="dxa"/>
            <w:tcBorders>
              <w:right w:val="single" w:sz="48" w:space="0" w:color="FFFFFF" w:themeColor="background1"/>
            </w:tcBorders>
            <w:shd w:val="clear" w:color="auto" w:fill="22B893"/>
          </w:tcPr>
          <w:p w14:paraId="61D0AE93" w14:textId="77777777" w:rsidR="00990345" w:rsidRDefault="00990345" w:rsidP="00327D8A">
            <w:pPr>
              <w:keepNext/>
            </w:pPr>
          </w:p>
        </w:tc>
        <w:tc>
          <w:tcPr>
            <w:tcW w:w="7371" w:type="dxa"/>
            <w:gridSpan w:val="2"/>
          </w:tcPr>
          <w:p w14:paraId="1DC6196B" w14:textId="77777777" w:rsidR="00990345" w:rsidRPr="00327D8A" w:rsidRDefault="00990345" w:rsidP="00327D8A">
            <w:pPr>
              <w:pStyle w:val="TableText"/>
              <w:keepNext/>
              <w:rPr>
                <w:sz w:val="22"/>
                <w:szCs w:val="22"/>
              </w:rPr>
            </w:pPr>
            <w:r w:rsidRPr="0029210A">
              <w:rPr>
                <w:b/>
                <w:sz w:val="22"/>
                <w:szCs w:val="22"/>
              </w:rPr>
              <w:t xml:space="preserve">Focus area: </w:t>
            </w:r>
            <w:r w:rsidR="00327D8A" w:rsidRPr="00327D8A">
              <w:rPr>
                <w:sz w:val="22"/>
                <w:szCs w:val="22"/>
              </w:rPr>
              <w:t>Create healthy food environments in the settings where people live, work, play and learn</w:t>
            </w:r>
          </w:p>
          <w:p w14:paraId="53C9D372" w14:textId="77777777" w:rsidR="00327D8A" w:rsidRPr="001F1459" w:rsidRDefault="00327D8A" w:rsidP="00327D8A">
            <w:pPr>
              <w:pStyle w:val="TableText"/>
              <w:keepNext/>
              <w:rPr>
                <w:sz w:val="20"/>
              </w:rPr>
            </w:pPr>
            <w:r w:rsidRPr="001F1459">
              <w:rPr>
                <w:sz w:val="20"/>
              </w:rPr>
              <w:t>What do we know about the impact of unhealthy food environments?</w:t>
            </w:r>
          </w:p>
          <w:p w14:paraId="00C19163" w14:textId="77777777" w:rsidR="00327D8A" w:rsidRPr="00C000B2" w:rsidRDefault="00327D8A" w:rsidP="00327D8A">
            <w:pPr>
              <w:pStyle w:val="TableText"/>
              <w:keepNext/>
            </w:pPr>
            <w:r w:rsidRPr="00C000B2">
              <w:t xml:space="preserve">In unhealthy food environments, unhealthy foods are heavily marketed and made increasingly palatable, </w:t>
            </w:r>
            <w:proofErr w:type="gramStart"/>
            <w:r w:rsidRPr="00C000B2">
              <w:t>available</w:t>
            </w:r>
            <w:proofErr w:type="gramEnd"/>
            <w:r w:rsidRPr="00C000B2">
              <w:t xml:space="preserve"> and accessible. Unhealthy food environments are linked to poorer nutritional status and a higher risk of obesity.</w:t>
            </w:r>
            <w:r w:rsidRPr="00327D8A">
              <w:rPr>
                <w:vertAlign w:val="superscript"/>
              </w:rPr>
              <w:t>202</w:t>
            </w:r>
          </w:p>
          <w:p w14:paraId="1CF335B2" w14:textId="77777777" w:rsidR="00990345" w:rsidRDefault="00327D8A" w:rsidP="00327D8A">
            <w:pPr>
              <w:pStyle w:val="TableText"/>
              <w:keepNext/>
            </w:pPr>
            <w:r w:rsidRPr="00C000B2">
              <w:t>In Aotearoa, children are exposed to high levels of unhealthy food and beverage marketing within their school environments.</w:t>
            </w:r>
            <w:r w:rsidRPr="00327D8A">
              <w:rPr>
                <w:vertAlign w:val="superscript"/>
              </w:rPr>
              <w:t>203</w:t>
            </w:r>
            <w:r w:rsidRPr="00C000B2">
              <w:t xml:space="preserve"> They also have easy access to takeaway shops and convenience stores, which are within 800 metres of their school gates in urban areas.</w:t>
            </w:r>
            <w:r w:rsidRPr="00327D8A">
              <w:rPr>
                <w:vertAlign w:val="superscript"/>
              </w:rPr>
              <w:t>239</w:t>
            </w:r>
            <w:r w:rsidRPr="00C000B2">
              <w:t xml:space="preserve"> Between 2005 and 2015, the density of </w:t>
            </w:r>
            <w:proofErr w:type="gramStart"/>
            <w:r w:rsidRPr="00C000B2">
              <w:t>fast food</w:t>
            </w:r>
            <w:proofErr w:type="gramEnd"/>
            <w:r w:rsidRPr="00C000B2">
              <w:t xml:space="preserve"> outlets and supermarkets increased and the median distance to a fast food outlet or supermarket decreased.</w:t>
            </w:r>
            <w:r w:rsidRPr="00327D8A">
              <w:rPr>
                <w:vertAlign w:val="superscript"/>
              </w:rPr>
              <w:t>240</w:t>
            </w:r>
          </w:p>
        </w:tc>
      </w:tr>
      <w:tr w:rsidR="00990345" w14:paraId="15B506B4" w14:textId="77777777" w:rsidTr="00351028">
        <w:trPr>
          <w:cantSplit/>
        </w:trPr>
        <w:tc>
          <w:tcPr>
            <w:tcW w:w="426" w:type="dxa"/>
            <w:tcBorders>
              <w:right w:val="single" w:sz="48" w:space="0" w:color="FFFFFF" w:themeColor="background1"/>
            </w:tcBorders>
            <w:shd w:val="clear" w:color="auto" w:fill="22B893"/>
          </w:tcPr>
          <w:p w14:paraId="248AA131" w14:textId="77777777" w:rsidR="00990345" w:rsidRDefault="00990345" w:rsidP="00351028"/>
        </w:tc>
        <w:tc>
          <w:tcPr>
            <w:tcW w:w="304" w:type="dxa"/>
            <w:shd w:val="clear" w:color="auto" w:fill="F37973"/>
          </w:tcPr>
          <w:p w14:paraId="7556ADF6" w14:textId="77777777" w:rsidR="00990345" w:rsidRPr="0029210A" w:rsidRDefault="00990345" w:rsidP="00351028">
            <w:pPr>
              <w:pStyle w:val="TableText"/>
            </w:pPr>
          </w:p>
        </w:tc>
        <w:tc>
          <w:tcPr>
            <w:tcW w:w="7067" w:type="dxa"/>
          </w:tcPr>
          <w:p w14:paraId="195CBC6B" w14:textId="77777777" w:rsidR="00990345" w:rsidRPr="0029210A" w:rsidRDefault="00327D8A" w:rsidP="00351028">
            <w:pPr>
              <w:pStyle w:val="TableText"/>
              <w:ind w:left="113"/>
            </w:pPr>
            <w:r w:rsidRPr="00C000B2">
              <w:t xml:space="preserve">There are significant inequities in the distribution of </w:t>
            </w:r>
            <w:proofErr w:type="gramStart"/>
            <w:r w:rsidRPr="00C000B2">
              <w:t>fast food</w:t>
            </w:r>
            <w:proofErr w:type="gramEnd"/>
            <w:r w:rsidRPr="00C000B2">
              <w:t xml:space="preserve"> outlets and convenience stores in Aotearoa, with a higher density of these outlets in more socioeconomically deprived areas.</w:t>
            </w:r>
            <w:r w:rsidRPr="00327D8A">
              <w:rPr>
                <w:vertAlign w:val="superscript"/>
              </w:rPr>
              <w:t>239, 240</w:t>
            </w:r>
            <w:r w:rsidRPr="00C000B2">
              <w:t xml:space="preserve"> Supermarkets in low-income areas stock a higher ratio of unhealthy to healthy foods than those in higher-income areas.</w:t>
            </w:r>
            <w:r w:rsidRPr="00327D8A">
              <w:rPr>
                <w:vertAlign w:val="superscript"/>
              </w:rPr>
              <w:t>31</w:t>
            </w:r>
            <w:r w:rsidRPr="00C000B2">
              <w:t xml:space="preserve"> Schools in more socioeconomically deprived areas are more likely to be near an unhealthy food outlet.</w:t>
            </w:r>
            <w:r w:rsidRPr="00327D8A">
              <w:rPr>
                <w:vertAlign w:val="superscript"/>
              </w:rPr>
              <w:t>239</w:t>
            </w:r>
          </w:p>
        </w:tc>
      </w:tr>
    </w:tbl>
    <w:p w14:paraId="5CCED2D9" w14:textId="77777777" w:rsidR="00990345" w:rsidRPr="00C000B2" w:rsidRDefault="00990345" w:rsidP="00327D8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402"/>
        <w:gridCol w:w="4678"/>
      </w:tblGrid>
      <w:tr w:rsidR="0029210A" w:rsidRPr="00AB3864" w14:paraId="760808E0" w14:textId="77777777" w:rsidTr="00AB11A2">
        <w:trPr>
          <w:cantSplit/>
        </w:trPr>
        <w:tc>
          <w:tcPr>
            <w:tcW w:w="8080" w:type="dxa"/>
            <w:gridSpan w:val="2"/>
            <w:tcBorders>
              <w:bottom w:val="nil"/>
            </w:tcBorders>
            <w:shd w:val="clear" w:color="auto" w:fill="D7EDE4"/>
          </w:tcPr>
          <w:p w14:paraId="057BB629" w14:textId="77777777" w:rsidR="0029210A" w:rsidRPr="00AB3864" w:rsidRDefault="0029210A" w:rsidP="00327D8A">
            <w:pPr>
              <w:pStyle w:val="TableText"/>
              <w:spacing w:before="120"/>
              <w:rPr>
                <w:b/>
                <w:sz w:val="22"/>
                <w:szCs w:val="22"/>
              </w:rPr>
            </w:pPr>
            <w:r w:rsidRPr="00AB3864">
              <w:rPr>
                <w:b/>
                <w:sz w:val="22"/>
                <w:szCs w:val="22"/>
              </w:rPr>
              <w:t xml:space="preserve">Action: </w:t>
            </w:r>
            <w:r w:rsidR="00327D8A" w:rsidRPr="00327D8A">
              <w:rPr>
                <w:sz w:val="22"/>
                <w:szCs w:val="22"/>
              </w:rPr>
              <w:t xml:space="preserve">Restrict the number, </w:t>
            </w:r>
            <w:proofErr w:type="gramStart"/>
            <w:r w:rsidR="00327D8A" w:rsidRPr="00327D8A">
              <w:rPr>
                <w:sz w:val="22"/>
                <w:szCs w:val="22"/>
              </w:rPr>
              <w:t>density</w:t>
            </w:r>
            <w:proofErr w:type="gramEnd"/>
            <w:r w:rsidR="00327D8A" w:rsidRPr="00327D8A">
              <w:rPr>
                <w:sz w:val="22"/>
                <w:szCs w:val="22"/>
              </w:rPr>
              <w:t xml:space="preserve"> and location of unhealthy food outlets</w:t>
            </w:r>
          </w:p>
        </w:tc>
      </w:tr>
      <w:tr w:rsidR="0029210A" w14:paraId="6D31AD0C" w14:textId="77777777" w:rsidTr="004616F4">
        <w:trPr>
          <w:cantSplit/>
        </w:trPr>
        <w:tc>
          <w:tcPr>
            <w:tcW w:w="3402" w:type="dxa"/>
            <w:tcBorders>
              <w:top w:val="nil"/>
              <w:bottom w:val="single" w:sz="8" w:space="0" w:color="22B893"/>
              <w:right w:val="dashed" w:sz="4" w:space="0" w:color="22B893"/>
            </w:tcBorders>
          </w:tcPr>
          <w:p w14:paraId="2D496C3E" w14:textId="77777777" w:rsidR="0029210A" w:rsidRPr="00AB3864" w:rsidRDefault="0029210A" w:rsidP="00AB11A2">
            <w:pPr>
              <w:pStyle w:val="TableText"/>
              <w:ind w:right="142"/>
              <w:rPr>
                <w:sz w:val="20"/>
              </w:rPr>
            </w:pPr>
            <w:r w:rsidRPr="00AB3864">
              <w:rPr>
                <w:sz w:val="20"/>
              </w:rPr>
              <w:t>What is the evidence?</w:t>
            </w:r>
          </w:p>
          <w:p w14:paraId="74CA4B88" w14:textId="77777777" w:rsidR="0029210A" w:rsidRDefault="00327D8A" w:rsidP="00AB11A2">
            <w:pPr>
              <w:pStyle w:val="TableText"/>
              <w:ind w:right="113"/>
            </w:pPr>
            <w:r w:rsidRPr="00C000B2">
              <w:t>Reducing the availability of unhealthy food and drink options or changing the position of these foods in stores reduces purchases of these foods.</w:t>
            </w:r>
            <w:r w:rsidRPr="00327D8A">
              <w:rPr>
                <w:vertAlign w:val="superscript"/>
              </w:rPr>
              <w:t>241</w:t>
            </w:r>
          </w:p>
        </w:tc>
        <w:tc>
          <w:tcPr>
            <w:tcW w:w="4678" w:type="dxa"/>
            <w:tcBorders>
              <w:top w:val="nil"/>
              <w:left w:val="dashed" w:sz="4" w:space="0" w:color="22B893"/>
              <w:bottom w:val="single" w:sz="8" w:space="0" w:color="22B893"/>
            </w:tcBorders>
          </w:tcPr>
          <w:p w14:paraId="0FC0856A" w14:textId="77777777" w:rsidR="0029210A" w:rsidRPr="00AB3864" w:rsidRDefault="0029210A" w:rsidP="00AB11A2">
            <w:pPr>
              <w:pStyle w:val="TableText"/>
              <w:ind w:left="113"/>
              <w:rPr>
                <w:sz w:val="20"/>
              </w:rPr>
            </w:pPr>
            <w:r w:rsidRPr="00AB3864">
              <w:rPr>
                <w:sz w:val="20"/>
              </w:rPr>
              <w:t>What is Aotearoa doing currently?</w:t>
            </w:r>
          </w:p>
          <w:p w14:paraId="67CAE149" w14:textId="77777777" w:rsidR="0029210A" w:rsidRDefault="00327D8A" w:rsidP="00AB11A2">
            <w:pPr>
              <w:pStyle w:val="TableText"/>
              <w:ind w:left="113"/>
            </w:pPr>
            <w:r w:rsidRPr="00C000B2">
              <w:t xml:space="preserve">Aotearoa has no legislative framework for local government to restrict the number, </w:t>
            </w:r>
            <w:proofErr w:type="gramStart"/>
            <w:r w:rsidRPr="00C000B2">
              <w:t>density</w:t>
            </w:r>
            <w:proofErr w:type="gramEnd"/>
            <w:r w:rsidRPr="00C000B2">
              <w:t xml:space="preserve"> or location of unhealthy food outlets.</w:t>
            </w:r>
          </w:p>
        </w:tc>
      </w:tr>
    </w:tbl>
    <w:p w14:paraId="25C8850B" w14:textId="77777777" w:rsidR="0029210A" w:rsidRPr="00C000B2" w:rsidRDefault="0029210A" w:rsidP="00327D8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402"/>
        <w:gridCol w:w="4678"/>
      </w:tblGrid>
      <w:tr w:rsidR="0029210A" w:rsidRPr="00AB3864" w14:paraId="05AD3643" w14:textId="77777777" w:rsidTr="00AB11A2">
        <w:trPr>
          <w:cantSplit/>
        </w:trPr>
        <w:tc>
          <w:tcPr>
            <w:tcW w:w="8080" w:type="dxa"/>
            <w:gridSpan w:val="2"/>
            <w:tcBorders>
              <w:bottom w:val="nil"/>
            </w:tcBorders>
            <w:shd w:val="clear" w:color="auto" w:fill="D7EDE4"/>
          </w:tcPr>
          <w:p w14:paraId="18A4CF30" w14:textId="77777777" w:rsidR="0029210A" w:rsidRPr="00AB3864" w:rsidRDefault="0029210A" w:rsidP="001F1459">
            <w:pPr>
              <w:pStyle w:val="TableText"/>
              <w:spacing w:before="120"/>
              <w:rPr>
                <w:b/>
                <w:sz w:val="22"/>
                <w:szCs w:val="22"/>
              </w:rPr>
            </w:pPr>
            <w:r w:rsidRPr="00AB3864">
              <w:rPr>
                <w:b/>
                <w:sz w:val="22"/>
                <w:szCs w:val="22"/>
              </w:rPr>
              <w:t xml:space="preserve">Action: </w:t>
            </w:r>
            <w:r w:rsidR="00327D8A" w:rsidRPr="00327D8A">
              <w:rPr>
                <w:sz w:val="22"/>
                <w:szCs w:val="22"/>
              </w:rPr>
              <w:t>Mandate and support the development of healthy food and beverage policies in schools and early childcare centres</w:t>
            </w:r>
          </w:p>
        </w:tc>
      </w:tr>
      <w:tr w:rsidR="0029210A" w14:paraId="67D4E68A" w14:textId="77777777" w:rsidTr="004616F4">
        <w:trPr>
          <w:cantSplit/>
        </w:trPr>
        <w:tc>
          <w:tcPr>
            <w:tcW w:w="3402" w:type="dxa"/>
            <w:tcBorders>
              <w:top w:val="nil"/>
              <w:bottom w:val="single" w:sz="8" w:space="0" w:color="22B893"/>
              <w:right w:val="dashed" w:sz="4" w:space="0" w:color="22B893"/>
            </w:tcBorders>
          </w:tcPr>
          <w:p w14:paraId="6107694D" w14:textId="77777777" w:rsidR="0029210A" w:rsidRPr="00AB3864" w:rsidRDefault="0029210A" w:rsidP="00AB11A2">
            <w:pPr>
              <w:pStyle w:val="TableText"/>
              <w:ind w:right="142"/>
              <w:rPr>
                <w:sz w:val="20"/>
              </w:rPr>
            </w:pPr>
            <w:r w:rsidRPr="00AB3864">
              <w:rPr>
                <w:sz w:val="20"/>
              </w:rPr>
              <w:t>What is the evidence?</w:t>
            </w:r>
          </w:p>
          <w:p w14:paraId="745F9B51" w14:textId="77777777" w:rsidR="0029210A" w:rsidRDefault="00327D8A" w:rsidP="00AB11A2">
            <w:pPr>
              <w:pStyle w:val="TableText"/>
              <w:ind w:right="113"/>
            </w:pPr>
            <w:r w:rsidRPr="00C000B2">
              <w:t>Healthy school food policies can increase consumption of fruit and vegetables and reduce consumption of sugar-sweetened beverages and unhealthy foods.</w:t>
            </w:r>
            <w:r w:rsidRPr="00327D8A">
              <w:rPr>
                <w:vertAlign w:val="superscript"/>
              </w:rPr>
              <w:t>242</w:t>
            </w:r>
            <w:r w:rsidRPr="00C000B2">
              <w:t xml:space="preserve"> Comprehensive nutrition policies that are school- and childcare centre-based have improved nutrition and health outcomes in indigenous children, particularly when policies included a focus on reducing SSBs.</w:t>
            </w:r>
            <w:r w:rsidRPr="00327D8A">
              <w:rPr>
                <w:vertAlign w:val="superscript"/>
              </w:rPr>
              <w:t>231</w:t>
            </w:r>
            <w:r w:rsidRPr="00C000B2">
              <w:t xml:space="preserve"> In addition, healthy school food policies have positive effects on educational outcomes.</w:t>
            </w:r>
            <w:r w:rsidRPr="00327D8A">
              <w:rPr>
                <w:vertAlign w:val="superscript"/>
              </w:rPr>
              <w:t>242</w:t>
            </w:r>
          </w:p>
        </w:tc>
        <w:tc>
          <w:tcPr>
            <w:tcW w:w="4678" w:type="dxa"/>
            <w:tcBorders>
              <w:top w:val="nil"/>
              <w:left w:val="dashed" w:sz="4" w:space="0" w:color="22B893"/>
              <w:bottom w:val="single" w:sz="8" w:space="0" w:color="22B893"/>
            </w:tcBorders>
          </w:tcPr>
          <w:p w14:paraId="12D6654B" w14:textId="77777777" w:rsidR="0029210A" w:rsidRPr="00AB3864" w:rsidRDefault="0029210A" w:rsidP="00AB11A2">
            <w:pPr>
              <w:pStyle w:val="TableText"/>
              <w:ind w:left="113"/>
              <w:rPr>
                <w:sz w:val="20"/>
              </w:rPr>
            </w:pPr>
            <w:r w:rsidRPr="00AB3864">
              <w:rPr>
                <w:sz w:val="20"/>
              </w:rPr>
              <w:t>What is Aotearoa doing currently?</w:t>
            </w:r>
          </w:p>
          <w:p w14:paraId="45F8B341" w14:textId="77777777" w:rsidR="00327D8A" w:rsidRPr="00C000B2" w:rsidRDefault="00327D8A" w:rsidP="00327D8A">
            <w:pPr>
              <w:pStyle w:val="TableText"/>
              <w:ind w:left="113"/>
            </w:pPr>
            <w:r w:rsidRPr="00C000B2">
              <w:t xml:space="preserve">The food and drink environments in Aotearoa schools vary. In general, secondary schools report greater access to unhealthy foods and drinks on school grounds. A 2016 survey of primary, </w:t>
            </w:r>
            <w:proofErr w:type="gramStart"/>
            <w:r w:rsidRPr="00C000B2">
              <w:t>intermediate</w:t>
            </w:r>
            <w:proofErr w:type="gramEnd"/>
            <w:r>
              <w:t xml:space="preserve"> </w:t>
            </w:r>
            <w:r w:rsidRPr="00C000B2">
              <w:t>and secondary schools in Aotearoa found that less than half had a written nutrition policy. Most primary schools (69</w:t>
            </w:r>
            <w:r w:rsidR="004616F4">
              <w:t> </w:t>
            </w:r>
            <w:r w:rsidRPr="00C000B2">
              <w:t>percent) reported having milk and/or water only, compared with only 35 percent of intermediate schools and 13 percent of secondary schools. Most schools (all types) reported using unhealthy food and beverages for fundraising.</w:t>
            </w:r>
            <w:r w:rsidRPr="004616F4">
              <w:rPr>
                <w:vertAlign w:val="superscript"/>
              </w:rPr>
              <w:t>243</w:t>
            </w:r>
          </w:p>
          <w:p w14:paraId="7101A99D" w14:textId="77777777" w:rsidR="0029210A" w:rsidRPr="004616F4" w:rsidRDefault="00327D8A" w:rsidP="00327D8A">
            <w:pPr>
              <w:pStyle w:val="TableText"/>
              <w:ind w:left="113"/>
              <w:rPr>
                <w:spacing w:val="-2"/>
              </w:rPr>
            </w:pPr>
            <w:r w:rsidRPr="004616F4">
              <w:rPr>
                <w:spacing w:val="-2"/>
              </w:rPr>
              <w:t xml:space="preserve">The Ministries of Health and Education, and Sport New Zealand have recently established a </w:t>
            </w:r>
            <w:r w:rsidRPr="004616F4">
              <w:rPr>
                <w:i/>
                <w:spacing w:val="-2"/>
              </w:rPr>
              <w:t xml:space="preserve">Healthy Active Learning </w:t>
            </w:r>
            <w:r w:rsidRPr="004616F4">
              <w:rPr>
                <w:spacing w:val="-2"/>
              </w:rPr>
              <w:t>initiative. This initiative provides curriculum resources and support for developing and implementing healthy food and water only policies and delivering physical activity experiences.</w:t>
            </w:r>
            <w:r w:rsidRPr="004616F4">
              <w:rPr>
                <w:spacing w:val="-2"/>
                <w:vertAlign w:val="superscript"/>
              </w:rPr>
              <w:t>244</w:t>
            </w:r>
            <w:r w:rsidRPr="004616F4">
              <w:rPr>
                <w:spacing w:val="-2"/>
              </w:rPr>
              <w:t xml:space="preserve"> The initiative was rolled out to 300 schools in 2020 and will expand to 800 schools by 2022. However, it is voluntary, and less support is provided in secondary schools.</w:t>
            </w:r>
          </w:p>
        </w:tc>
      </w:tr>
    </w:tbl>
    <w:p w14:paraId="6D9D3BBC" w14:textId="77777777" w:rsidR="0029210A" w:rsidRPr="00C000B2" w:rsidRDefault="0029210A" w:rsidP="004616F4"/>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3BCB1B6C" w14:textId="77777777" w:rsidTr="00AB11A2">
        <w:trPr>
          <w:cantSplit/>
        </w:trPr>
        <w:tc>
          <w:tcPr>
            <w:tcW w:w="8080" w:type="dxa"/>
            <w:gridSpan w:val="2"/>
            <w:tcBorders>
              <w:bottom w:val="nil"/>
            </w:tcBorders>
            <w:shd w:val="clear" w:color="auto" w:fill="D7EDE4"/>
          </w:tcPr>
          <w:p w14:paraId="440981F3" w14:textId="77777777" w:rsidR="0029210A" w:rsidRPr="00AB3864" w:rsidRDefault="0029210A" w:rsidP="001F1459">
            <w:pPr>
              <w:pStyle w:val="TableText"/>
              <w:keepNext/>
              <w:spacing w:before="120"/>
              <w:rPr>
                <w:b/>
                <w:sz w:val="22"/>
                <w:szCs w:val="22"/>
              </w:rPr>
            </w:pPr>
            <w:r w:rsidRPr="00AB3864">
              <w:rPr>
                <w:b/>
                <w:sz w:val="22"/>
                <w:szCs w:val="22"/>
              </w:rPr>
              <w:lastRenderedPageBreak/>
              <w:t xml:space="preserve">Action: </w:t>
            </w:r>
            <w:r w:rsidR="004616F4" w:rsidRPr="004616F4">
              <w:rPr>
                <w:sz w:val="22"/>
                <w:szCs w:val="22"/>
              </w:rPr>
              <w:t>Support communities to create healthy food and drink environments</w:t>
            </w:r>
          </w:p>
        </w:tc>
      </w:tr>
      <w:tr w:rsidR="0029210A" w14:paraId="234AE8A4" w14:textId="77777777" w:rsidTr="001F1459">
        <w:trPr>
          <w:cantSplit/>
        </w:trPr>
        <w:tc>
          <w:tcPr>
            <w:tcW w:w="4040" w:type="dxa"/>
            <w:tcBorders>
              <w:top w:val="nil"/>
              <w:bottom w:val="single" w:sz="8" w:space="0" w:color="22B893"/>
              <w:right w:val="dashed" w:sz="4" w:space="0" w:color="22B893"/>
            </w:tcBorders>
          </w:tcPr>
          <w:p w14:paraId="79E7D765" w14:textId="77777777" w:rsidR="0029210A" w:rsidRPr="00AB3864" w:rsidRDefault="0029210A" w:rsidP="00AB11A2">
            <w:pPr>
              <w:pStyle w:val="TableText"/>
              <w:ind w:right="142"/>
              <w:rPr>
                <w:sz w:val="20"/>
              </w:rPr>
            </w:pPr>
            <w:r w:rsidRPr="00AB3864">
              <w:rPr>
                <w:sz w:val="20"/>
              </w:rPr>
              <w:t>What is the evidence?</w:t>
            </w:r>
          </w:p>
          <w:p w14:paraId="4E3F43BD" w14:textId="77777777" w:rsidR="0029210A" w:rsidRDefault="004616F4" w:rsidP="00AB11A2">
            <w:pPr>
              <w:pStyle w:val="TableText"/>
              <w:ind w:right="113"/>
            </w:pPr>
            <w:r w:rsidRPr="00C000B2">
              <w:t xml:space="preserve">In environments created with easy access to places to buy and grow healthy food options (such as supermarkets, farmers’ </w:t>
            </w:r>
            <w:proofErr w:type="gramStart"/>
            <w:r w:rsidRPr="00C000B2">
              <w:t>markets</w:t>
            </w:r>
            <w:proofErr w:type="gramEnd"/>
            <w:r w:rsidRPr="00C000B2">
              <w:t xml:space="preserve"> and community gardens), drinking-water in public spaces and breastfeeding-friendly spaces, people make healthier food and drink choices.</w:t>
            </w:r>
            <w:r w:rsidRPr="004616F4">
              <w:rPr>
                <w:vertAlign w:val="superscript"/>
              </w:rPr>
              <w:t>24</w:t>
            </w:r>
          </w:p>
        </w:tc>
        <w:tc>
          <w:tcPr>
            <w:tcW w:w="4040" w:type="dxa"/>
            <w:tcBorders>
              <w:top w:val="nil"/>
              <w:left w:val="dashed" w:sz="4" w:space="0" w:color="22B893"/>
              <w:bottom w:val="single" w:sz="8" w:space="0" w:color="22B893"/>
            </w:tcBorders>
          </w:tcPr>
          <w:p w14:paraId="6C1681D9" w14:textId="77777777" w:rsidR="0029210A" w:rsidRPr="00AB3864" w:rsidRDefault="0029210A" w:rsidP="00AB11A2">
            <w:pPr>
              <w:pStyle w:val="TableText"/>
              <w:ind w:left="113"/>
              <w:rPr>
                <w:sz w:val="20"/>
              </w:rPr>
            </w:pPr>
            <w:r w:rsidRPr="00AB3864">
              <w:rPr>
                <w:sz w:val="20"/>
              </w:rPr>
              <w:t>What is Aotearoa doing currently?</w:t>
            </w:r>
          </w:p>
          <w:p w14:paraId="36805A05" w14:textId="77777777" w:rsidR="004616F4" w:rsidRPr="00C000B2" w:rsidRDefault="004616F4" w:rsidP="004616F4">
            <w:pPr>
              <w:pStyle w:val="TableText"/>
              <w:ind w:left="113"/>
            </w:pPr>
            <w:r w:rsidRPr="00C000B2">
              <w:t xml:space="preserve">The Ministry of Health funds </w:t>
            </w:r>
            <w:r w:rsidRPr="00C000B2">
              <w:rPr>
                <w:i/>
              </w:rPr>
              <w:t>Healthy Families New Zealand</w:t>
            </w:r>
            <w:r w:rsidRPr="00C000B2">
              <w:t>, which works with communities to create environments that support healthy eating and physical activity. An</w:t>
            </w:r>
            <w:r>
              <w:t xml:space="preserve"> </w:t>
            </w:r>
            <w:r w:rsidRPr="00C000B2">
              <w:t>initial evaluation found the design of the programme prioritised equity, Māori ownership and participation and had strengthened prevention efforts in most of those communities.</w:t>
            </w:r>
            <w:r w:rsidRPr="004616F4">
              <w:rPr>
                <w:vertAlign w:val="superscript"/>
              </w:rPr>
              <w:t>246</w:t>
            </w:r>
            <w:r w:rsidRPr="00C000B2">
              <w:t xml:space="preserve"> The programme can make additional gains by</w:t>
            </w:r>
            <w:r>
              <w:t xml:space="preserve"> </w:t>
            </w:r>
            <w:r w:rsidRPr="00C000B2">
              <w:t>responding to the evaluation results and expanding into other areas of high need.</w:t>
            </w:r>
          </w:p>
          <w:p w14:paraId="750A32C7" w14:textId="77777777" w:rsidR="0029210A" w:rsidRDefault="004616F4" w:rsidP="004616F4">
            <w:pPr>
              <w:pStyle w:val="TableText"/>
              <w:ind w:left="113"/>
            </w:pPr>
            <w:r w:rsidRPr="00C000B2">
              <w:t xml:space="preserve">Healthy Auckland Together is an example of collaboration between multiple agencies (health agencies, local government, </w:t>
            </w:r>
            <w:proofErr w:type="gramStart"/>
            <w:r w:rsidRPr="00C000B2">
              <w:t>iwi</w:t>
            </w:r>
            <w:proofErr w:type="gramEnd"/>
            <w:r w:rsidRPr="00C000B2">
              <w:t xml:space="preserve"> and non-governmental organisations) to create environments that encourage physical activity and good nutrition.</w:t>
            </w:r>
            <w:r w:rsidRPr="004616F4">
              <w:rPr>
                <w:vertAlign w:val="superscript"/>
              </w:rPr>
              <w:t>247</w:t>
            </w:r>
            <w:r w:rsidRPr="00C000B2">
              <w:t xml:space="preserve"> The partners work together to influence regional policy, infrastructure design and planning decisions such as investment in cycleways and walkways.</w:t>
            </w:r>
          </w:p>
        </w:tc>
      </w:tr>
    </w:tbl>
    <w:p w14:paraId="0BCBA83C" w14:textId="77777777" w:rsidR="0029210A" w:rsidRDefault="0029210A" w:rsidP="004616F4">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990345" w14:paraId="15997D9C" w14:textId="77777777" w:rsidTr="00351028">
        <w:trPr>
          <w:cantSplit/>
        </w:trPr>
        <w:tc>
          <w:tcPr>
            <w:tcW w:w="426" w:type="dxa"/>
            <w:tcBorders>
              <w:right w:val="single" w:sz="48" w:space="0" w:color="FFFFFF" w:themeColor="background1"/>
            </w:tcBorders>
            <w:shd w:val="clear" w:color="auto" w:fill="22B893"/>
          </w:tcPr>
          <w:p w14:paraId="1F01B24E" w14:textId="77777777" w:rsidR="00990345" w:rsidRDefault="00990345" w:rsidP="00351028"/>
        </w:tc>
        <w:tc>
          <w:tcPr>
            <w:tcW w:w="7371" w:type="dxa"/>
          </w:tcPr>
          <w:p w14:paraId="1F223022" w14:textId="77777777" w:rsidR="00990345" w:rsidRPr="004616F4" w:rsidRDefault="00990345" w:rsidP="00351028">
            <w:pPr>
              <w:pStyle w:val="TableText"/>
              <w:rPr>
                <w:sz w:val="22"/>
                <w:szCs w:val="22"/>
              </w:rPr>
            </w:pPr>
            <w:r w:rsidRPr="0029210A">
              <w:rPr>
                <w:b/>
                <w:sz w:val="22"/>
                <w:szCs w:val="22"/>
              </w:rPr>
              <w:t xml:space="preserve">Focus area: </w:t>
            </w:r>
            <w:r w:rsidR="004616F4" w:rsidRPr="004616F4">
              <w:rPr>
                <w:sz w:val="22"/>
                <w:szCs w:val="22"/>
              </w:rPr>
              <w:t>Improve the quality of packaged foods and beverages</w:t>
            </w:r>
          </w:p>
          <w:p w14:paraId="7D9D3B00" w14:textId="77777777" w:rsidR="004616F4" w:rsidRPr="004616F4" w:rsidRDefault="004616F4" w:rsidP="004616F4">
            <w:pPr>
              <w:pStyle w:val="TableText"/>
              <w:rPr>
                <w:sz w:val="20"/>
              </w:rPr>
            </w:pPr>
            <w:r w:rsidRPr="004616F4">
              <w:rPr>
                <w:sz w:val="20"/>
              </w:rPr>
              <w:t>What do we know about the impact of having widely available ultra-processed foods?</w:t>
            </w:r>
          </w:p>
          <w:p w14:paraId="13ED671D" w14:textId="77777777" w:rsidR="00990345" w:rsidRDefault="004616F4" w:rsidP="004616F4">
            <w:pPr>
              <w:pStyle w:val="TableText"/>
            </w:pPr>
            <w:r w:rsidRPr="00C000B2">
              <w:t>In 2018, 69 percent of packaged foods and beverages in Aotearoa supermarkets were ultra-processed.</w:t>
            </w:r>
            <w:r w:rsidRPr="004616F4">
              <w:rPr>
                <w:vertAlign w:val="superscript"/>
              </w:rPr>
              <w:t>248</w:t>
            </w:r>
            <w:r w:rsidRPr="00C000B2">
              <w:t xml:space="preserve"> In addition, many New Zealanders have a high amount of ultra-processed foods in their diet.</w:t>
            </w:r>
            <w:r w:rsidRPr="004616F4">
              <w:rPr>
                <w:vertAlign w:val="superscript"/>
              </w:rPr>
              <w:t>248, 249</w:t>
            </w:r>
            <w:r w:rsidRPr="00C000B2">
              <w:t xml:space="preserve"> Many children are consuming up to half of their energy intake from ultra-processed foods by 12 months of age.</w:t>
            </w:r>
            <w:r w:rsidRPr="004616F4">
              <w:rPr>
                <w:vertAlign w:val="superscript"/>
              </w:rPr>
              <w:t>250</w:t>
            </w:r>
          </w:p>
        </w:tc>
      </w:tr>
    </w:tbl>
    <w:p w14:paraId="3C747462" w14:textId="77777777" w:rsidR="00EF27EC" w:rsidRPr="00C000B2" w:rsidRDefault="00EF27EC" w:rsidP="001F1459">
      <w:pPr>
        <w:spacing w:after="240"/>
      </w:pPr>
      <w:r w:rsidRPr="00C000B2">
        <w:rPr>
          <w:noProof/>
          <w:lang w:eastAsia="en-NZ"/>
        </w:rPr>
        <mc:AlternateContent>
          <mc:Choice Requires="wps">
            <w:drawing>
              <wp:anchor distT="0" distB="0" distL="114300" distR="114300" simplePos="0" relativeHeight="252083200" behindDoc="1" locked="0" layoutInCell="1" allowOverlap="1" wp14:anchorId="54BB74D7" wp14:editId="1D2D860C">
                <wp:simplePos x="0" y="0"/>
                <wp:positionH relativeFrom="page">
                  <wp:posOffset>3317875</wp:posOffset>
                </wp:positionH>
                <wp:positionV relativeFrom="page">
                  <wp:posOffset>4324350</wp:posOffset>
                </wp:positionV>
                <wp:extent cx="12700" cy="12700"/>
                <wp:effectExtent l="3175" t="0" r="3175" b="6350"/>
                <wp:wrapNone/>
                <wp:docPr id="711" name="Freeform 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225 5225"/>
                            <a:gd name="T1" fmla="*/ T0 w 20"/>
                            <a:gd name="T2" fmla="+- 0 6820 6810"/>
                            <a:gd name="T3" fmla="*/ 6820 h 20"/>
                            <a:gd name="T4" fmla="+- 0 5228 5225"/>
                            <a:gd name="T5" fmla="*/ T4 w 20"/>
                            <a:gd name="T6" fmla="+- 0 6813 6810"/>
                            <a:gd name="T7" fmla="*/ 6813 h 20"/>
                            <a:gd name="T8" fmla="+- 0 5235 5225"/>
                            <a:gd name="T9" fmla="*/ T8 w 20"/>
                            <a:gd name="T10" fmla="+- 0 6810 6810"/>
                            <a:gd name="T11" fmla="*/ 6810 h 20"/>
                            <a:gd name="T12" fmla="+- 0 5242 5225"/>
                            <a:gd name="T13" fmla="*/ T12 w 20"/>
                            <a:gd name="T14" fmla="+- 0 6813 6810"/>
                            <a:gd name="T15" fmla="*/ 6813 h 20"/>
                            <a:gd name="T16" fmla="+- 0 5245 5225"/>
                            <a:gd name="T17" fmla="*/ T16 w 20"/>
                            <a:gd name="T18" fmla="+- 0 6820 6810"/>
                            <a:gd name="T19" fmla="*/ 6820 h 20"/>
                            <a:gd name="T20" fmla="+- 0 5242 5225"/>
                            <a:gd name="T21" fmla="*/ T20 w 20"/>
                            <a:gd name="T22" fmla="+- 0 6827 6810"/>
                            <a:gd name="T23" fmla="*/ 6827 h 20"/>
                            <a:gd name="T24" fmla="+- 0 5235 5225"/>
                            <a:gd name="T25" fmla="*/ T24 w 20"/>
                            <a:gd name="T26" fmla="+- 0 6830 6810"/>
                            <a:gd name="T27" fmla="*/ 6830 h 20"/>
                            <a:gd name="T28" fmla="+- 0 5228 5225"/>
                            <a:gd name="T29" fmla="*/ T28 w 20"/>
                            <a:gd name="T30" fmla="+- 0 6827 6810"/>
                            <a:gd name="T31" fmla="*/ 6827 h 20"/>
                            <a:gd name="T32" fmla="+- 0 5225 5225"/>
                            <a:gd name="T33" fmla="*/ T32 w 20"/>
                            <a:gd name="T34" fmla="+- 0 6820 6810"/>
                            <a:gd name="T35" fmla="*/ 682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50586" id="Freeform 711" o:spid="_x0000_s1026" alt="&quot;&quot;" style="position:absolute;margin-left:261.25pt;margin-top:340.5pt;width:1pt;height:1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" path="m,10l3,3,10,r7,3l20,10r-3,7l10,20,3,17,,10xe" fillcolor="#22b893" stroked="f">
                <v:path arrowok="t" o:connecttype="custom" o:connectlocs="0,4330700;1905,4326255;6350,4324350;10795,4326255;12700,4330700;10795,4335145;6350,4337050;1905,4335145;0,4330700"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084224" behindDoc="1" locked="0" layoutInCell="1" allowOverlap="1" wp14:anchorId="21F6E174" wp14:editId="4F174D67">
                <wp:simplePos x="0" y="0"/>
                <wp:positionH relativeFrom="page">
                  <wp:posOffset>3317875</wp:posOffset>
                </wp:positionH>
                <wp:positionV relativeFrom="page">
                  <wp:posOffset>1217930</wp:posOffset>
                </wp:positionV>
                <wp:extent cx="12700" cy="12700"/>
                <wp:effectExtent l="3175" t="8255" r="3175" b="7620"/>
                <wp:wrapNone/>
                <wp:docPr id="710" name="Freeform 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225 5225"/>
                            <a:gd name="T1" fmla="*/ T0 w 20"/>
                            <a:gd name="T2" fmla="+- 0 1928 1918"/>
                            <a:gd name="T3" fmla="*/ 1928 h 20"/>
                            <a:gd name="T4" fmla="+- 0 5228 5225"/>
                            <a:gd name="T5" fmla="*/ T4 w 20"/>
                            <a:gd name="T6" fmla="+- 0 1921 1918"/>
                            <a:gd name="T7" fmla="*/ 1921 h 20"/>
                            <a:gd name="T8" fmla="+- 0 5235 5225"/>
                            <a:gd name="T9" fmla="*/ T8 w 20"/>
                            <a:gd name="T10" fmla="+- 0 1918 1918"/>
                            <a:gd name="T11" fmla="*/ 1918 h 20"/>
                            <a:gd name="T12" fmla="+- 0 5242 5225"/>
                            <a:gd name="T13" fmla="*/ T12 w 20"/>
                            <a:gd name="T14" fmla="+- 0 1921 1918"/>
                            <a:gd name="T15" fmla="*/ 1921 h 20"/>
                            <a:gd name="T16" fmla="+- 0 5245 5225"/>
                            <a:gd name="T17" fmla="*/ T16 w 20"/>
                            <a:gd name="T18" fmla="+- 0 1928 1918"/>
                            <a:gd name="T19" fmla="*/ 1928 h 20"/>
                            <a:gd name="T20" fmla="+- 0 5242 5225"/>
                            <a:gd name="T21" fmla="*/ T20 w 20"/>
                            <a:gd name="T22" fmla="+- 0 1935 1918"/>
                            <a:gd name="T23" fmla="*/ 1935 h 20"/>
                            <a:gd name="T24" fmla="+- 0 5235 5225"/>
                            <a:gd name="T25" fmla="*/ T24 w 20"/>
                            <a:gd name="T26" fmla="+- 0 1938 1918"/>
                            <a:gd name="T27" fmla="*/ 1938 h 20"/>
                            <a:gd name="T28" fmla="+- 0 5228 5225"/>
                            <a:gd name="T29" fmla="*/ T28 w 20"/>
                            <a:gd name="T30" fmla="+- 0 1935 1918"/>
                            <a:gd name="T31" fmla="*/ 1935 h 20"/>
                            <a:gd name="T32" fmla="+- 0 5225 5225"/>
                            <a:gd name="T33" fmla="*/ T32 w 20"/>
                            <a:gd name="T34" fmla="+- 0 1928 1918"/>
                            <a:gd name="T35" fmla="*/ 192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5395" id="Freeform 710" o:spid="_x0000_s1026" alt="&quot;&quot;" style="position:absolute;margin-left:261.25pt;margin-top:95.9pt;width:1pt;height:1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" path="m,10l3,3,10,r7,3l20,10r-3,7l10,20,3,17,,10xe" fillcolor="#22b893" stroked="f">
                <v:path arrowok="t" o:connecttype="custom" o:connectlocs="0,1224280;1905,1219835;6350,1217930;10795,1219835;12700,1224280;10795,1228725;6350,1230630;1905,1228725;0,1224280" o:connectangles="0,0,0,0,0,0,0,0,0"/>
                <w10:wrap anchorx="page" anchory="page"/>
              </v:shape>
            </w:pict>
          </mc:Fallback>
        </mc:AlternateContent>
      </w: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04DB7882" w14:textId="77777777" w:rsidTr="00AB11A2">
        <w:trPr>
          <w:cantSplit/>
        </w:trPr>
        <w:tc>
          <w:tcPr>
            <w:tcW w:w="8080" w:type="dxa"/>
            <w:gridSpan w:val="2"/>
            <w:tcBorders>
              <w:bottom w:val="nil"/>
            </w:tcBorders>
            <w:shd w:val="clear" w:color="auto" w:fill="D7EDE4"/>
          </w:tcPr>
          <w:p w14:paraId="5AA19B9B" w14:textId="77777777" w:rsidR="0029210A" w:rsidRPr="00AB3864" w:rsidRDefault="0029210A" w:rsidP="001F1459">
            <w:pPr>
              <w:pStyle w:val="TableText"/>
              <w:keepNext/>
              <w:spacing w:before="120"/>
              <w:rPr>
                <w:b/>
                <w:sz w:val="22"/>
                <w:szCs w:val="22"/>
              </w:rPr>
            </w:pPr>
            <w:r w:rsidRPr="00AB3864">
              <w:rPr>
                <w:b/>
                <w:sz w:val="22"/>
                <w:szCs w:val="22"/>
              </w:rPr>
              <w:lastRenderedPageBreak/>
              <w:t xml:space="preserve">Action: </w:t>
            </w:r>
            <w:r w:rsidR="001F1459" w:rsidRPr="001F1459">
              <w:rPr>
                <w:sz w:val="22"/>
                <w:szCs w:val="22"/>
              </w:rPr>
              <w:t>Set mandatory food reformulation targets (salt, sugar, saturated fats) for packaged food manufacturers</w:t>
            </w:r>
          </w:p>
        </w:tc>
      </w:tr>
      <w:tr w:rsidR="0029210A" w14:paraId="405698F6" w14:textId="77777777" w:rsidTr="001F1459">
        <w:trPr>
          <w:cantSplit/>
        </w:trPr>
        <w:tc>
          <w:tcPr>
            <w:tcW w:w="4040" w:type="dxa"/>
            <w:tcBorders>
              <w:top w:val="nil"/>
              <w:bottom w:val="single" w:sz="8" w:space="0" w:color="22B893"/>
              <w:right w:val="dashed" w:sz="4" w:space="0" w:color="22B893"/>
            </w:tcBorders>
          </w:tcPr>
          <w:p w14:paraId="72AAB59E" w14:textId="77777777" w:rsidR="0029210A" w:rsidRPr="00AB3864" w:rsidRDefault="0029210A" w:rsidP="00AB11A2">
            <w:pPr>
              <w:pStyle w:val="TableText"/>
              <w:ind w:right="142"/>
              <w:rPr>
                <w:sz w:val="20"/>
              </w:rPr>
            </w:pPr>
            <w:r w:rsidRPr="00AB3864">
              <w:rPr>
                <w:sz w:val="20"/>
              </w:rPr>
              <w:t>What is the evidence?</w:t>
            </w:r>
          </w:p>
          <w:p w14:paraId="1A06568D" w14:textId="77777777" w:rsidR="001F1459" w:rsidRPr="00C000B2" w:rsidRDefault="001F1459" w:rsidP="001F1459">
            <w:pPr>
              <w:pStyle w:val="TableText"/>
              <w:ind w:right="113"/>
            </w:pPr>
            <w:r w:rsidRPr="00C000B2">
              <w:t>Support for food reformulation is widespread among international bodies and emerging evidence shows that mandatory reformulation is effective.</w:t>
            </w:r>
            <w:r w:rsidRPr="001F1459">
              <w:rPr>
                <w:vertAlign w:val="superscript"/>
              </w:rPr>
              <w:t>251, 252</w:t>
            </w:r>
          </w:p>
          <w:p w14:paraId="00332549" w14:textId="77777777" w:rsidR="001F1459" w:rsidRPr="00C000B2" w:rsidRDefault="001F1459" w:rsidP="001F1459">
            <w:pPr>
              <w:pStyle w:val="TableText"/>
              <w:ind w:right="113"/>
            </w:pPr>
            <w:r w:rsidRPr="00C000B2">
              <w:t>The United Kingdom salt reduction programme that began in 2013/14 led to reduced salt content in many processed foods.</w:t>
            </w:r>
            <w:r w:rsidRPr="001F1459">
              <w:rPr>
                <w:vertAlign w:val="superscript"/>
              </w:rPr>
              <w:t>253</w:t>
            </w:r>
          </w:p>
          <w:p w14:paraId="452A0EA0" w14:textId="77777777" w:rsidR="001F1459" w:rsidRPr="00C000B2" w:rsidRDefault="001F1459" w:rsidP="001F1459">
            <w:pPr>
              <w:pStyle w:val="TableText"/>
              <w:ind w:right="113"/>
            </w:pPr>
            <w:r w:rsidRPr="00C000B2">
              <w:t xml:space="preserve">Many countries have national targets for salt reduction. Some of these – including Belgium, Finland, </w:t>
            </w:r>
            <w:proofErr w:type="gramStart"/>
            <w:r w:rsidRPr="00C000B2">
              <w:t>Hungary</w:t>
            </w:r>
            <w:proofErr w:type="gramEnd"/>
            <w:r w:rsidRPr="00C000B2">
              <w:t xml:space="preserve"> and the Netherlands,</w:t>
            </w:r>
            <w:r w:rsidRPr="001F1459">
              <w:rPr>
                <w:vertAlign w:val="superscript"/>
              </w:rPr>
              <w:t>254</w:t>
            </w:r>
            <w:r w:rsidRPr="00C000B2">
              <w:t xml:space="preserve"> Argentina,</w:t>
            </w:r>
            <w:r w:rsidRPr="001F1459">
              <w:rPr>
                <w:vertAlign w:val="superscript"/>
              </w:rPr>
              <w:t>255</w:t>
            </w:r>
            <w:r w:rsidRPr="00C000B2">
              <w:t xml:space="preserve"> and South Africa</w:t>
            </w:r>
            <w:r w:rsidRPr="001F1459">
              <w:rPr>
                <w:vertAlign w:val="superscript"/>
              </w:rPr>
              <w:t>256</w:t>
            </w:r>
            <w:r w:rsidRPr="00C000B2">
              <w:t xml:space="preserve"> – have specified in law mandatory maximum levels of salt for some food categories.</w:t>
            </w:r>
          </w:p>
          <w:p w14:paraId="797FF74D" w14:textId="77777777" w:rsidR="0029210A" w:rsidRDefault="001F1459" w:rsidP="001F1459">
            <w:pPr>
              <w:pStyle w:val="TableText"/>
              <w:ind w:right="113"/>
            </w:pPr>
            <w:r w:rsidRPr="00C000B2">
              <w:t xml:space="preserve">The United Kingdom government has encouraged voluntary reformulation for salt, </w:t>
            </w:r>
            <w:proofErr w:type="gramStart"/>
            <w:r w:rsidRPr="00C000B2">
              <w:t>sugar</w:t>
            </w:r>
            <w:proofErr w:type="gramEnd"/>
            <w:r w:rsidRPr="00C000B2">
              <w:t xml:space="preserve"> and calorie reduction.</w:t>
            </w:r>
            <w:r w:rsidRPr="001F1459">
              <w:rPr>
                <w:vertAlign w:val="superscript"/>
              </w:rPr>
              <w:t>257</w:t>
            </w:r>
          </w:p>
        </w:tc>
        <w:tc>
          <w:tcPr>
            <w:tcW w:w="4040" w:type="dxa"/>
            <w:tcBorders>
              <w:top w:val="nil"/>
              <w:left w:val="dashed" w:sz="4" w:space="0" w:color="22B893"/>
              <w:bottom w:val="single" w:sz="8" w:space="0" w:color="22B893"/>
            </w:tcBorders>
          </w:tcPr>
          <w:p w14:paraId="3D3F31C5" w14:textId="77777777" w:rsidR="0029210A" w:rsidRPr="00AB3864" w:rsidRDefault="0029210A" w:rsidP="00AB11A2">
            <w:pPr>
              <w:pStyle w:val="TableText"/>
              <w:ind w:left="113"/>
              <w:rPr>
                <w:sz w:val="20"/>
              </w:rPr>
            </w:pPr>
            <w:r w:rsidRPr="00AB3864">
              <w:rPr>
                <w:sz w:val="20"/>
              </w:rPr>
              <w:t>What is Aotearoa doing currently?</w:t>
            </w:r>
          </w:p>
          <w:p w14:paraId="3C652284" w14:textId="77777777" w:rsidR="001F1459" w:rsidRPr="00C000B2" w:rsidRDefault="001F1459" w:rsidP="001F1459">
            <w:pPr>
              <w:pStyle w:val="TableText"/>
              <w:ind w:left="113"/>
            </w:pPr>
            <w:r w:rsidRPr="00C000B2">
              <w:t>Aotearoa has no statutory limits on the amount of saturated fat, salt and sugar that can be added to processed foods.</w:t>
            </w:r>
            <w:r w:rsidRPr="001F1459">
              <w:rPr>
                <w:vertAlign w:val="superscript"/>
              </w:rPr>
              <w:t>228</w:t>
            </w:r>
          </w:p>
          <w:p w14:paraId="0EE9F487" w14:textId="77777777" w:rsidR="0029210A" w:rsidRDefault="001F1459" w:rsidP="001F1459">
            <w:pPr>
              <w:pStyle w:val="TableText"/>
              <w:ind w:left="113"/>
            </w:pPr>
            <w:r w:rsidRPr="00C000B2">
              <w:t>Since 2007, the New Zealand Heart Foundation has operated a voluntary food reformulation programme, which set targets for salt and sugar content of processed foods. A recent review found that more than 70 percent of breakfast cereals, margarine and cheese met the salt targets but less than 50 percent of bread and baked beans products did so. For sugar content, more than 77 percent of breakfast cereal products meet the target, but this was less than half for baked beans and yoghurt products.</w:t>
            </w:r>
            <w:r w:rsidRPr="001F1459">
              <w:rPr>
                <w:vertAlign w:val="superscript"/>
              </w:rPr>
              <w:t>258</w:t>
            </w:r>
          </w:p>
        </w:tc>
      </w:tr>
    </w:tbl>
    <w:p w14:paraId="5536FEDE" w14:textId="77777777" w:rsidR="0029210A" w:rsidRPr="00C000B2" w:rsidRDefault="0029210A" w:rsidP="001F1459">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5597F1A2" w14:textId="77777777" w:rsidTr="00AB11A2">
        <w:trPr>
          <w:cantSplit/>
        </w:trPr>
        <w:tc>
          <w:tcPr>
            <w:tcW w:w="8080" w:type="dxa"/>
            <w:gridSpan w:val="2"/>
            <w:tcBorders>
              <w:bottom w:val="nil"/>
            </w:tcBorders>
            <w:shd w:val="clear" w:color="auto" w:fill="D7EDE4"/>
          </w:tcPr>
          <w:p w14:paraId="39DC5AE6" w14:textId="77777777" w:rsidR="0029210A" w:rsidRPr="00AB3864" w:rsidRDefault="0029210A" w:rsidP="001F1459">
            <w:pPr>
              <w:pStyle w:val="TableText"/>
              <w:spacing w:before="120"/>
              <w:rPr>
                <w:b/>
                <w:sz w:val="22"/>
                <w:szCs w:val="22"/>
              </w:rPr>
            </w:pPr>
            <w:r w:rsidRPr="00AB3864">
              <w:rPr>
                <w:b/>
                <w:sz w:val="22"/>
                <w:szCs w:val="22"/>
              </w:rPr>
              <w:t xml:space="preserve">Action: </w:t>
            </w:r>
            <w:r w:rsidR="001F1459" w:rsidRPr="001F1459">
              <w:rPr>
                <w:sz w:val="22"/>
                <w:szCs w:val="22"/>
              </w:rPr>
              <w:t>Mandate front-of-pack labelling on all packaged foods</w:t>
            </w:r>
          </w:p>
        </w:tc>
      </w:tr>
      <w:tr w:rsidR="0029210A" w14:paraId="2A7188EB" w14:textId="77777777" w:rsidTr="001F1459">
        <w:trPr>
          <w:cantSplit/>
        </w:trPr>
        <w:tc>
          <w:tcPr>
            <w:tcW w:w="4040" w:type="dxa"/>
            <w:tcBorders>
              <w:top w:val="nil"/>
              <w:bottom w:val="single" w:sz="8" w:space="0" w:color="22B893"/>
              <w:right w:val="dashed" w:sz="4" w:space="0" w:color="22B893"/>
            </w:tcBorders>
          </w:tcPr>
          <w:p w14:paraId="411DCA04" w14:textId="77777777" w:rsidR="0029210A" w:rsidRPr="00AB3864" w:rsidRDefault="0029210A" w:rsidP="00AB11A2">
            <w:pPr>
              <w:pStyle w:val="TableText"/>
              <w:ind w:right="142"/>
              <w:rPr>
                <w:sz w:val="20"/>
              </w:rPr>
            </w:pPr>
            <w:r w:rsidRPr="00AB3864">
              <w:rPr>
                <w:sz w:val="20"/>
              </w:rPr>
              <w:t>What is the evidence?</w:t>
            </w:r>
          </w:p>
          <w:p w14:paraId="2EDBC017" w14:textId="77777777" w:rsidR="001F1459" w:rsidRPr="00C000B2" w:rsidRDefault="001F1459" w:rsidP="001F1459">
            <w:pPr>
              <w:pStyle w:val="TableText"/>
              <w:ind w:right="113"/>
            </w:pPr>
            <w:r w:rsidRPr="00C000B2">
              <w:t>Mandatory front-of-pack labelling can encourage reformulation to a more favourable nutrient composition.</w:t>
            </w:r>
            <w:r w:rsidRPr="001F1459">
              <w:rPr>
                <w:vertAlign w:val="superscript"/>
              </w:rPr>
              <w:t>259, 260</w:t>
            </w:r>
          </w:p>
          <w:p w14:paraId="3F64F484" w14:textId="77777777" w:rsidR="0029210A" w:rsidRDefault="001F1459" w:rsidP="001F1459">
            <w:pPr>
              <w:pStyle w:val="TableText"/>
              <w:ind w:right="113"/>
            </w:pPr>
            <w:r w:rsidRPr="00C000B2">
              <w:t xml:space="preserve">Mandatory front-of-pack labelling is increasing globally. Countries that have introduced it include Mexico, Iran, Chile, Sri Lanka, Peru, </w:t>
            </w:r>
            <w:proofErr w:type="gramStart"/>
            <w:r w:rsidRPr="00C000B2">
              <w:t>Uruguay</w:t>
            </w:r>
            <w:proofErr w:type="gramEnd"/>
            <w:r w:rsidRPr="00C000B2">
              <w:t xml:space="preserve"> and Israel.</w:t>
            </w:r>
            <w:r w:rsidRPr="001F1459">
              <w:rPr>
                <w:vertAlign w:val="superscript"/>
              </w:rPr>
              <w:t>248</w:t>
            </w:r>
          </w:p>
        </w:tc>
        <w:tc>
          <w:tcPr>
            <w:tcW w:w="4040" w:type="dxa"/>
            <w:tcBorders>
              <w:top w:val="nil"/>
              <w:left w:val="dashed" w:sz="4" w:space="0" w:color="22B893"/>
              <w:bottom w:val="single" w:sz="8" w:space="0" w:color="22B893"/>
            </w:tcBorders>
          </w:tcPr>
          <w:p w14:paraId="1F0554B5" w14:textId="77777777" w:rsidR="0029210A" w:rsidRPr="00AB3864" w:rsidRDefault="0029210A" w:rsidP="00AB11A2">
            <w:pPr>
              <w:pStyle w:val="TableText"/>
              <w:ind w:left="113"/>
              <w:rPr>
                <w:sz w:val="20"/>
              </w:rPr>
            </w:pPr>
            <w:r w:rsidRPr="00AB3864">
              <w:rPr>
                <w:sz w:val="20"/>
              </w:rPr>
              <w:t>What is Aotearoa doing currently?</w:t>
            </w:r>
          </w:p>
          <w:p w14:paraId="2A8F54AF" w14:textId="77777777" w:rsidR="001F1459" w:rsidRPr="00C000B2" w:rsidRDefault="001F1459" w:rsidP="001F1459">
            <w:pPr>
              <w:pStyle w:val="TableText"/>
              <w:ind w:left="113"/>
            </w:pPr>
            <w:r w:rsidRPr="00C000B2">
              <w:t>Aotearoa introduced a voluntary front-of-pack labelling system called the Health Star Rating (HSR) in 2014.</w:t>
            </w:r>
          </w:p>
          <w:p w14:paraId="57B08880" w14:textId="77777777" w:rsidR="0029210A" w:rsidRDefault="001F1459" w:rsidP="00DC7DE7">
            <w:pPr>
              <w:pStyle w:val="TableText"/>
              <w:ind w:left="113"/>
            </w:pPr>
            <w:r w:rsidRPr="00C000B2">
              <w:t xml:space="preserve">Products displaying an HSR have improved in their salt, </w:t>
            </w:r>
            <w:proofErr w:type="gramStart"/>
            <w:r w:rsidRPr="00C000B2">
              <w:t>sugar</w:t>
            </w:r>
            <w:proofErr w:type="gramEnd"/>
            <w:r w:rsidRPr="00C000B2">
              <w:t xml:space="preserve"> and fibre content. However, uptake of the HSR has been low, with only 21</w:t>
            </w:r>
            <w:r w:rsidR="00DC7DE7">
              <w:t> </w:t>
            </w:r>
            <w:r w:rsidRPr="00C000B2">
              <w:t>percent of packaged products displaying an HSR, and the HSR appears to be selectively applied to healthier products.</w:t>
            </w:r>
            <w:r w:rsidRPr="001F1459">
              <w:rPr>
                <w:vertAlign w:val="superscript"/>
              </w:rPr>
              <w:t>258</w:t>
            </w:r>
          </w:p>
        </w:tc>
      </w:tr>
    </w:tbl>
    <w:p w14:paraId="609E60DB" w14:textId="77777777" w:rsidR="0029210A" w:rsidRPr="00C000B2" w:rsidRDefault="0029210A" w:rsidP="00DC7DE7">
      <w:pPr>
        <w:spacing w:after="240"/>
      </w:pPr>
    </w:p>
    <w:p w14:paraId="36F6A852" w14:textId="77777777" w:rsidR="00EF27EC" w:rsidRPr="00C000B2" w:rsidRDefault="00EF27EC" w:rsidP="00DC7DE7">
      <w:r w:rsidRPr="00C000B2">
        <w:t>As well as the actions described above, improving nutrition requires a focus on improving food security. Food security is when ‘all people, at all times, have physical, social, and economic access to sufficient, safe, and nutritious food that meets their food preferences and dietary needs for an active and healthy life’.</w:t>
      </w:r>
      <w:r w:rsidRPr="00DC7DE7">
        <w:rPr>
          <w:vertAlign w:val="superscript"/>
        </w:rPr>
        <w:t>261</w:t>
      </w:r>
      <w:r w:rsidRPr="00C000B2">
        <w:t xml:space="preserve"> Around one in five children (19 percent) in Aotearoa live in food-insecure households and the proportion is higher among Māori and Pacific peoples.</w:t>
      </w:r>
      <w:r w:rsidRPr="00DC7DE7">
        <w:rPr>
          <w:vertAlign w:val="superscript"/>
        </w:rPr>
        <w:t>262</w:t>
      </w:r>
      <w:r w:rsidRPr="00C000B2">
        <w:t xml:space="preserve"> The primary causes of food insecurity are inadequate financial resource and material hardship,</w:t>
      </w:r>
      <w:r w:rsidRPr="00DC7DE7">
        <w:rPr>
          <w:vertAlign w:val="superscript"/>
        </w:rPr>
        <w:t>262,</w:t>
      </w:r>
      <w:r w:rsidR="00DC7DE7" w:rsidRPr="00DC7DE7">
        <w:rPr>
          <w:vertAlign w:val="superscript"/>
        </w:rPr>
        <w:t> </w:t>
      </w:r>
      <w:r w:rsidRPr="00DC7DE7">
        <w:rPr>
          <w:vertAlign w:val="superscript"/>
        </w:rPr>
        <w:t>263</w:t>
      </w:r>
      <w:r w:rsidRPr="00C000B2">
        <w:t xml:space="preserve"> and so improving food security requires comprehensive, cross-sector action.</w:t>
      </w:r>
      <w:r w:rsidRPr="00DC7DE7">
        <w:rPr>
          <w:vertAlign w:val="superscript"/>
        </w:rPr>
        <w:t>264</w:t>
      </w:r>
    </w:p>
    <w:p w14:paraId="2FA427CF" w14:textId="77777777" w:rsidR="00EF27EC" w:rsidRPr="00C000B2" w:rsidRDefault="00EF27EC" w:rsidP="00DC7DE7"/>
    <w:p w14:paraId="4797F7C1" w14:textId="77777777" w:rsidR="00EF27EC" w:rsidRPr="00C000B2" w:rsidRDefault="00EF27EC" w:rsidP="00DC7DE7">
      <w:pPr>
        <w:keepNext/>
        <w:keepLines/>
      </w:pPr>
      <w:r w:rsidRPr="00C000B2">
        <w:lastRenderedPageBreak/>
        <w:t>If Aotearoa is to systematically change our food environment to promote good health, substantial action is needed at a national level. Developing a multi-sectoral food systems and nutrition strategy would provide an overarching framework for the initiatives described above, and others. Aotearoa currently has no food system plan or strategy. The 2015 Child Obesity Plan focused largely on initiatives to support individual behaviour change rather than initiatives to address the obesogenic environments and did not lead to significant change in the prevalence of excess body weight in children.</w:t>
      </w:r>
      <w:r w:rsidRPr="00DC7DE7">
        <w:rPr>
          <w:vertAlign w:val="superscript"/>
        </w:rPr>
        <w:t>49</w:t>
      </w:r>
      <w:r w:rsidRPr="00C000B2">
        <w:t xml:space="preserve"> An additional gap that could be filled is in collecting regular nutritional surveys, vital to monitor the impact of existing and future interventions.</w:t>
      </w:r>
    </w:p>
    <w:p w14:paraId="2C0892DD" w14:textId="77777777" w:rsidR="00EF27EC" w:rsidRPr="00C000B2" w:rsidRDefault="00EF27EC" w:rsidP="00DC7DE7"/>
    <w:p w14:paraId="5FF6E367" w14:textId="77777777" w:rsidR="00EF27EC" w:rsidRPr="00C000B2" w:rsidRDefault="00EF27EC" w:rsidP="00DC7DE7">
      <w:r w:rsidRPr="00C000B2">
        <w:t xml:space="preserve">By implementing interventions that can improve food environments, Aotearoa has the opportunity to protect children and young people, reduce inequities and fulfil Te </w:t>
      </w:r>
      <w:proofErr w:type="spellStart"/>
      <w:r w:rsidRPr="00C000B2">
        <w:t>Tiriti</w:t>
      </w:r>
      <w:proofErr w:type="spellEnd"/>
      <w:r w:rsidRPr="00C000B2">
        <w:t xml:space="preserve"> responsibilities.</w:t>
      </w:r>
    </w:p>
    <w:p w14:paraId="1D7ECC53" w14:textId="77777777" w:rsidR="00EF27EC" w:rsidRPr="00C000B2" w:rsidRDefault="00EF27EC" w:rsidP="00DC7DE7"/>
    <w:p w14:paraId="247140D4" w14:textId="77777777" w:rsidR="00EF27EC" w:rsidRPr="00C000B2" w:rsidRDefault="000E6425" w:rsidP="000E6425">
      <w:pPr>
        <w:pStyle w:val="Heading1"/>
      </w:pPr>
      <w:bookmarkStart w:id="137" w:name="Te_ārai_mate_pukupuku_mō_te_iti_o_te_kor"/>
      <w:bookmarkStart w:id="138" w:name="What_is_the_connection_between_physical_"/>
      <w:bookmarkStart w:id="139" w:name="Figure_23:_Association_between_physical_"/>
      <w:bookmarkStart w:id="140" w:name="_bookmark25"/>
      <w:bookmarkStart w:id="141" w:name="_Toc95742660"/>
      <w:bookmarkEnd w:id="137"/>
      <w:bookmarkEnd w:id="138"/>
      <w:bookmarkEnd w:id="139"/>
      <w:bookmarkEnd w:id="140"/>
      <w:r w:rsidRPr="00C000B2">
        <w:lastRenderedPageBreak/>
        <w:t>Te Ārai Mate Pukupuku Mō Te Iti O Te Kori Tinana</w:t>
      </w:r>
      <w:r>
        <w:br/>
      </w:r>
      <w:r w:rsidRPr="000E6425">
        <w:rPr>
          <w:color w:val="22B893"/>
        </w:rPr>
        <w:t>Preventing cancers related to insufficient physical activity</w:t>
      </w:r>
      <w:bookmarkEnd w:id="141"/>
    </w:p>
    <w:p w14:paraId="27D0D318" w14:textId="77777777" w:rsidR="00EF27EC" w:rsidRPr="00C000B2" w:rsidRDefault="00EF27EC" w:rsidP="00F729B7">
      <w:pPr>
        <w:pStyle w:val="Heading2"/>
      </w:pPr>
      <w:bookmarkStart w:id="142" w:name="_Toc95742661"/>
      <w:r w:rsidRPr="00C000B2">
        <w:rPr>
          <w:noProof/>
          <w:lang w:eastAsia="en-NZ"/>
        </w:rPr>
        <mc:AlternateContent>
          <mc:Choice Requires="wps">
            <w:drawing>
              <wp:anchor distT="0" distB="0" distL="180340" distR="0" simplePos="0" relativeHeight="252085248" behindDoc="1" locked="0" layoutInCell="1" allowOverlap="1" wp14:anchorId="3A35084C" wp14:editId="1F8C0C46">
                <wp:simplePos x="0" y="0"/>
                <wp:positionH relativeFrom="page">
                  <wp:posOffset>3776345</wp:posOffset>
                </wp:positionH>
                <wp:positionV relativeFrom="paragraph">
                  <wp:posOffset>1356995</wp:posOffset>
                </wp:positionV>
                <wp:extent cx="2879725" cy="2861945"/>
                <wp:effectExtent l="0" t="0" r="0" b="0"/>
                <wp:wrapSquare wrapText="left"/>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861945"/>
                        </a:xfrm>
                        <a:prstGeom prst="rect">
                          <a:avLst/>
                        </a:prstGeom>
                        <a:solidFill>
                          <a:srgbClr val="E0F1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A6102" w14:textId="77777777" w:rsidR="00D657A2" w:rsidRDefault="00D657A2" w:rsidP="00597457">
                            <w:pPr>
                              <w:pStyle w:val="TableText"/>
                              <w:spacing w:before="120" w:after="120"/>
                              <w:ind w:left="113" w:right="113"/>
                            </w:pPr>
                            <w:r>
                              <w:rPr>
                                <w:rFonts w:ascii="Gill Sans MT"/>
                                <w:b/>
                              </w:rPr>
                              <w:t>Physical</w:t>
                            </w:r>
                            <w:r>
                              <w:rPr>
                                <w:rFonts w:ascii="Gill Sans MT"/>
                                <w:b/>
                                <w:spacing w:val="-1"/>
                              </w:rPr>
                              <w:t xml:space="preserve"> </w:t>
                            </w:r>
                            <w:r>
                              <w:rPr>
                                <w:rFonts w:ascii="Gill Sans MT"/>
                                <w:b/>
                              </w:rPr>
                              <w:t>activity</w:t>
                            </w:r>
                            <w:r>
                              <w:rPr>
                                <w:rFonts w:ascii="Gill Sans MT"/>
                                <w:b/>
                                <w:spacing w:val="6"/>
                              </w:rPr>
                              <w:t xml:space="preserve"> </w:t>
                            </w:r>
                            <w:r>
                              <w:t>is</w:t>
                            </w:r>
                            <w:r>
                              <w:rPr>
                                <w:spacing w:val="1"/>
                              </w:rPr>
                              <w:t xml:space="preserve"> </w:t>
                            </w:r>
                            <w:r>
                              <w:t>any</w:t>
                            </w:r>
                            <w:r>
                              <w:rPr>
                                <w:spacing w:val="2"/>
                              </w:rPr>
                              <w:t xml:space="preserve"> </w:t>
                            </w:r>
                            <w:r>
                              <w:t>bodily</w:t>
                            </w:r>
                            <w:r>
                              <w:rPr>
                                <w:spacing w:val="2"/>
                              </w:rPr>
                              <w:t xml:space="preserve"> </w:t>
                            </w:r>
                            <w:r>
                              <w:t>movement</w:t>
                            </w:r>
                            <w:r>
                              <w:rPr>
                                <w:spacing w:val="1"/>
                              </w:rPr>
                              <w:t xml:space="preserve"> </w:t>
                            </w:r>
                            <w:r>
                              <w:t>that</w:t>
                            </w:r>
                            <w:r>
                              <w:rPr>
                                <w:spacing w:val="2"/>
                              </w:rPr>
                              <w:t xml:space="preserve"> </w:t>
                            </w:r>
                            <w:r>
                              <w:t>uses</w:t>
                            </w:r>
                            <w:r>
                              <w:rPr>
                                <w:spacing w:val="-51"/>
                              </w:rPr>
                              <w:t xml:space="preserve"> </w:t>
                            </w:r>
                            <w:r>
                              <w:t>energy. It includes walking, cycling, sports and</w:t>
                            </w:r>
                            <w:r>
                              <w:rPr>
                                <w:spacing w:val="1"/>
                              </w:rPr>
                              <w:t xml:space="preserve"> </w:t>
                            </w:r>
                            <w:r>
                              <w:t>active</w:t>
                            </w:r>
                            <w:r>
                              <w:rPr>
                                <w:spacing w:val="-8"/>
                              </w:rPr>
                              <w:t xml:space="preserve"> </w:t>
                            </w:r>
                            <w:r>
                              <w:t>recreation.</w:t>
                            </w:r>
                          </w:p>
                          <w:p w14:paraId="3E487B18" w14:textId="77777777" w:rsidR="00D657A2" w:rsidRDefault="00D657A2" w:rsidP="00597457">
                            <w:pPr>
                              <w:pStyle w:val="TableText"/>
                              <w:spacing w:before="120" w:after="120"/>
                              <w:ind w:left="113" w:right="113"/>
                            </w:pPr>
                            <w:r>
                              <w:rPr>
                                <w:rFonts w:ascii="Gill Sans MT"/>
                                <w:b/>
                              </w:rPr>
                              <w:t xml:space="preserve">Sedentary behaviour </w:t>
                            </w:r>
                            <w:r>
                              <w:t>is activity that uses only low</w:t>
                            </w:r>
                            <w:r>
                              <w:rPr>
                                <w:spacing w:val="-53"/>
                              </w:rPr>
                              <w:t xml:space="preserve"> </w:t>
                            </w:r>
                            <w:r>
                              <w:t xml:space="preserve">levels of energy such as sitting, </w:t>
                            </w:r>
                            <w:r>
                              <w:t>reclining and lying</w:t>
                            </w:r>
                            <w:r>
                              <w:rPr>
                                <w:spacing w:val="-52"/>
                              </w:rPr>
                              <w:t xml:space="preserve"> </w:t>
                            </w:r>
                            <w:r>
                              <w:t>down.</w:t>
                            </w:r>
                          </w:p>
                          <w:p w14:paraId="7DA71AD0" w14:textId="77777777" w:rsidR="00D657A2" w:rsidRDefault="00D657A2" w:rsidP="00597457">
                            <w:pPr>
                              <w:pStyle w:val="TableText"/>
                              <w:spacing w:before="120" w:after="120"/>
                              <w:ind w:left="113" w:right="113"/>
                            </w:pPr>
                            <w:r>
                              <w:rPr>
                                <w:rFonts w:ascii="Gill Sans MT"/>
                                <w:b/>
                              </w:rPr>
                              <w:t>Incidental</w:t>
                            </w:r>
                            <w:r>
                              <w:rPr>
                                <w:rFonts w:ascii="Gill Sans MT"/>
                                <w:b/>
                                <w:spacing w:val="-8"/>
                              </w:rPr>
                              <w:t xml:space="preserve"> </w:t>
                            </w:r>
                            <w:r>
                              <w:rPr>
                                <w:rFonts w:ascii="Gill Sans MT"/>
                                <w:b/>
                              </w:rPr>
                              <w:t>physical</w:t>
                            </w:r>
                            <w:r>
                              <w:rPr>
                                <w:rFonts w:ascii="Gill Sans MT"/>
                                <w:b/>
                                <w:spacing w:val="-8"/>
                              </w:rPr>
                              <w:t xml:space="preserve"> </w:t>
                            </w:r>
                            <w:r>
                              <w:rPr>
                                <w:rFonts w:ascii="Gill Sans MT"/>
                                <w:b/>
                              </w:rPr>
                              <w:t>activit</w:t>
                            </w:r>
                            <w:r>
                              <w:t>y</w:t>
                            </w:r>
                            <w:r>
                              <w:rPr>
                                <w:spacing w:val="-7"/>
                              </w:rPr>
                              <w:t xml:space="preserve"> </w:t>
                            </w:r>
                            <w:r>
                              <w:t>is</w:t>
                            </w:r>
                            <w:r>
                              <w:rPr>
                                <w:spacing w:val="-6"/>
                              </w:rPr>
                              <w:t xml:space="preserve"> </w:t>
                            </w:r>
                            <w:r>
                              <w:t>activity</w:t>
                            </w:r>
                            <w:r>
                              <w:rPr>
                                <w:spacing w:val="-7"/>
                              </w:rPr>
                              <w:t xml:space="preserve"> </w:t>
                            </w:r>
                            <w:r>
                              <w:t>required</w:t>
                            </w:r>
                            <w:r>
                              <w:rPr>
                                <w:spacing w:val="-51"/>
                              </w:rPr>
                              <w:t xml:space="preserve"> </w:t>
                            </w:r>
                            <w:r>
                              <w:t>to engage in normal daily activities, such as</w:t>
                            </w:r>
                            <w:r>
                              <w:rPr>
                                <w:spacing w:val="1"/>
                              </w:rPr>
                              <w:t xml:space="preserve"> </w:t>
                            </w:r>
                            <w:r>
                              <w:t>housework, gardening</w:t>
                            </w:r>
                            <w:r>
                              <w:rPr>
                                <w:spacing w:val="1"/>
                              </w:rPr>
                              <w:t xml:space="preserve"> </w:t>
                            </w:r>
                            <w:r>
                              <w:t>or</w:t>
                            </w:r>
                            <w:r>
                              <w:rPr>
                                <w:spacing w:val="1"/>
                              </w:rPr>
                              <w:t xml:space="preserve"> </w:t>
                            </w:r>
                            <w:r>
                              <w:t>walking</w:t>
                            </w:r>
                            <w:r>
                              <w:rPr>
                                <w:spacing w:val="1"/>
                              </w:rPr>
                              <w:t xml:space="preserve"> </w:t>
                            </w:r>
                            <w:r>
                              <w:t>to</w:t>
                            </w:r>
                            <w:r>
                              <w:rPr>
                                <w:spacing w:val="1"/>
                              </w:rPr>
                              <w:t xml:space="preserve"> </w:t>
                            </w:r>
                            <w:r>
                              <w:t>the shop.</w:t>
                            </w:r>
                          </w:p>
                          <w:p w14:paraId="0EBC8844" w14:textId="77777777" w:rsidR="00D657A2" w:rsidRDefault="00D657A2" w:rsidP="00597457">
                            <w:pPr>
                              <w:pStyle w:val="TableText"/>
                              <w:spacing w:before="120" w:after="120"/>
                              <w:ind w:left="113" w:right="113"/>
                            </w:pPr>
                            <w:r>
                              <w:rPr>
                                <w:rFonts w:ascii="Gill Sans MT"/>
                                <w:b/>
                              </w:rPr>
                              <w:t>Active</w:t>
                            </w:r>
                            <w:r>
                              <w:rPr>
                                <w:rFonts w:ascii="Gill Sans MT"/>
                                <w:b/>
                                <w:spacing w:val="-13"/>
                              </w:rPr>
                              <w:t xml:space="preserve"> </w:t>
                            </w:r>
                            <w:r>
                              <w:rPr>
                                <w:rFonts w:ascii="Gill Sans MT"/>
                                <w:b/>
                              </w:rPr>
                              <w:t>recreation</w:t>
                            </w:r>
                            <w:r>
                              <w:rPr>
                                <w:rFonts w:ascii="Gill Sans MT"/>
                                <w:b/>
                                <w:spacing w:val="-7"/>
                              </w:rPr>
                              <w:t xml:space="preserve"> </w:t>
                            </w:r>
                            <w:r>
                              <w:t>is</w:t>
                            </w:r>
                            <w:r>
                              <w:rPr>
                                <w:spacing w:val="-12"/>
                              </w:rPr>
                              <w:t xml:space="preserve"> </w:t>
                            </w:r>
                            <w:r>
                              <w:t>leisure-time</w:t>
                            </w:r>
                            <w:r>
                              <w:rPr>
                                <w:spacing w:val="-12"/>
                              </w:rPr>
                              <w:t xml:space="preserve"> </w:t>
                            </w:r>
                            <w:r>
                              <w:t>activity</w:t>
                            </w:r>
                            <w:r>
                              <w:rPr>
                                <w:spacing w:val="-12"/>
                              </w:rPr>
                              <w:t xml:space="preserve"> </w:t>
                            </w:r>
                            <w:r>
                              <w:t>people</w:t>
                            </w:r>
                            <w:r>
                              <w:rPr>
                                <w:spacing w:val="-12"/>
                              </w:rPr>
                              <w:t xml:space="preserve"> </w:t>
                            </w:r>
                            <w:r>
                              <w:t>do</w:t>
                            </w:r>
                            <w:r>
                              <w:rPr>
                                <w:spacing w:val="-51"/>
                              </w:rPr>
                              <w:t xml:space="preserve"> </w:t>
                            </w:r>
                            <w:r>
                              <w:t>for the purpose of relaxation, health and wellbeing</w:t>
                            </w:r>
                            <w:r>
                              <w:rPr>
                                <w:spacing w:val="-52"/>
                              </w:rPr>
                              <w:t xml:space="preserve"> </w:t>
                            </w:r>
                            <w:r>
                              <w:t>or enjoyment, such as gym workouts, walking and</w:t>
                            </w:r>
                            <w:r>
                              <w:rPr>
                                <w:spacing w:val="1"/>
                              </w:rPr>
                              <w:t xml:space="preserve"> </w:t>
                            </w:r>
                            <w:r>
                              <w:t>running.</w:t>
                            </w:r>
                          </w:p>
                          <w:p w14:paraId="71C43EFD" w14:textId="77777777" w:rsidR="00D657A2" w:rsidRDefault="00D657A2" w:rsidP="00597457">
                            <w:pPr>
                              <w:pStyle w:val="TableText"/>
                              <w:spacing w:before="120" w:after="120"/>
                              <w:ind w:left="113" w:right="113"/>
                            </w:pPr>
                            <w:r>
                              <w:rPr>
                                <w:rFonts w:ascii="Gill Sans MT" w:hAnsi="Gill Sans MT"/>
                                <w:b/>
                              </w:rPr>
                              <w:t>Active</w:t>
                            </w:r>
                            <w:r>
                              <w:rPr>
                                <w:rFonts w:ascii="Gill Sans MT" w:hAnsi="Gill Sans MT"/>
                                <w:b/>
                                <w:spacing w:val="-8"/>
                              </w:rPr>
                              <w:t xml:space="preserve"> </w:t>
                            </w:r>
                            <w:r>
                              <w:rPr>
                                <w:rFonts w:ascii="Gill Sans MT" w:hAnsi="Gill Sans MT"/>
                                <w:b/>
                              </w:rPr>
                              <w:t>transport</w:t>
                            </w:r>
                            <w:r>
                              <w:rPr>
                                <w:rFonts w:ascii="Gill Sans MT" w:hAnsi="Gill Sans MT"/>
                                <w:b/>
                                <w:spacing w:val="-3"/>
                              </w:rPr>
                              <w:t xml:space="preserve"> </w:t>
                            </w:r>
                            <w:r>
                              <w:t>is</w:t>
                            </w:r>
                            <w:r>
                              <w:rPr>
                                <w:spacing w:val="-7"/>
                              </w:rPr>
                              <w:t xml:space="preserve"> </w:t>
                            </w:r>
                            <w:r>
                              <w:t>physical</w:t>
                            </w:r>
                            <w:r>
                              <w:rPr>
                                <w:spacing w:val="-7"/>
                              </w:rPr>
                              <w:t xml:space="preserve"> </w:t>
                            </w:r>
                            <w:r>
                              <w:t>activity</w:t>
                            </w:r>
                            <w:r>
                              <w:rPr>
                                <w:spacing w:val="-6"/>
                              </w:rPr>
                              <w:t xml:space="preserve"> </w:t>
                            </w:r>
                            <w:r>
                              <w:t>people</w:t>
                            </w:r>
                            <w:r>
                              <w:rPr>
                                <w:spacing w:val="-7"/>
                              </w:rPr>
                              <w:t xml:space="preserve"> </w:t>
                            </w:r>
                            <w:r>
                              <w:t>do</w:t>
                            </w:r>
                            <w:r>
                              <w:rPr>
                                <w:spacing w:val="-7"/>
                              </w:rPr>
                              <w:t xml:space="preserve"> </w:t>
                            </w:r>
                            <w:r>
                              <w:t>as</w:t>
                            </w:r>
                            <w:r>
                              <w:rPr>
                                <w:spacing w:val="-51"/>
                              </w:rPr>
                              <w:t xml:space="preserve"> </w:t>
                            </w:r>
                            <w:r>
                              <w:t>means of transport – travel by foot, bicycle and</w:t>
                            </w:r>
                            <w:r>
                              <w:rPr>
                                <w:spacing w:val="1"/>
                              </w:rPr>
                              <w:t xml:space="preserve"> </w:t>
                            </w:r>
                            <w:r>
                              <w:rPr>
                                <w:w w:val="105"/>
                              </w:rPr>
                              <w:t>other</w:t>
                            </w:r>
                            <w:r>
                              <w:rPr>
                                <w:spacing w:val="-12"/>
                                <w:w w:val="105"/>
                              </w:rPr>
                              <w:t xml:space="preserve"> </w:t>
                            </w:r>
                            <w:r>
                              <w:rPr>
                                <w:w w:val="105"/>
                              </w:rPr>
                              <w:t>non-motorised</w:t>
                            </w:r>
                            <w:r>
                              <w:rPr>
                                <w:spacing w:val="-11"/>
                                <w:w w:val="105"/>
                              </w:rPr>
                              <w:t xml:space="preserve"> </w:t>
                            </w:r>
                            <w:r>
                              <w:rPr>
                                <w:w w:val="105"/>
                              </w:rPr>
                              <w:t>vehicles.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35084C" id="Text Box 708" o:spid="_x0000_s1027" type="#_x0000_t202" style="position:absolute;margin-left:297.35pt;margin-top:106.85pt;width:226.75pt;height:225.35pt;z-index:-251231232;visibility:visible;mso-wrap-style:square;mso-width-percent:0;mso-height-percent:0;mso-wrap-distance-left:14.2pt;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" fillcolor="#e0f1ea" stroked="f">
                <v:textbox inset="0,0,0,0">
                  <w:txbxContent>
                    <w:p w14:paraId="785A6102" w14:textId="77777777" w:rsidR="00D657A2" w:rsidRDefault="00D657A2" w:rsidP="00597457">
                      <w:pPr>
                        <w:pStyle w:val="TableText"/>
                        <w:spacing w:before="120" w:after="120"/>
                        <w:ind w:left="113" w:right="113"/>
                      </w:pPr>
                      <w:r>
                        <w:rPr>
                          <w:rFonts w:ascii="Gill Sans MT"/>
                          <w:b/>
                        </w:rPr>
                        <w:t>Physical</w:t>
                      </w:r>
                      <w:r>
                        <w:rPr>
                          <w:rFonts w:ascii="Gill Sans MT"/>
                          <w:b/>
                          <w:spacing w:val="-1"/>
                        </w:rPr>
                        <w:t xml:space="preserve"> </w:t>
                      </w:r>
                      <w:r>
                        <w:rPr>
                          <w:rFonts w:ascii="Gill Sans MT"/>
                          <w:b/>
                        </w:rPr>
                        <w:t>activity</w:t>
                      </w:r>
                      <w:r>
                        <w:rPr>
                          <w:rFonts w:ascii="Gill Sans MT"/>
                          <w:b/>
                          <w:spacing w:val="6"/>
                        </w:rPr>
                        <w:t xml:space="preserve"> </w:t>
                      </w:r>
                      <w:r>
                        <w:t>is</w:t>
                      </w:r>
                      <w:r>
                        <w:rPr>
                          <w:spacing w:val="1"/>
                        </w:rPr>
                        <w:t xml:space="preserve"> </w:t>
                      </w:r>
                      <w:r>
                        <w:t>any</w:t>
                      </w:r>
                      <w:r>
                        <w:rPr>
                          <w:spacing w:val="2"/>
                        </w:rPr>
                        <w:t xml:space="preserve"> </w:t>
                      </w:r>
                      <w:r>
                        <w:t>bodily</w:t>
                      </w:r>
                      <w:r>
                        <w:rPr>
                          <w:spacing w:val="2"/>
                        </w:rPr>
                        <w:t xml:space="preserve"> </w:t>
                      </w:r>
                      <w:r>
                        <w:t>movement</w:t>
                      </w:r>
                      <w:r>
                        <w:rPr>
                          <w:spacing w:val="1"/>
                        </w:rPr>
                        <w:t xml:space="preserve"> </w:t>
                      </w:r>
                      <w:r>
                        <w:t>that</w:t>
                      </w:r>
                      <w:r>
                        <w:rPr>
                          <w:spacing w:val="2"/>
                        </w:rPr>
                        <w:t xml:space="preserve"> </w:t>
                      </w:r>
                      <w:r>
                        <w:t>uses</w:t>
                      </w:r>
                      <w:r>
                        <w:rPr>
                          <w:spacing w:val="-51"/>
                        </w:rPr>
                        <w:t xml:space="preserve"> </w:t>
                      </w:r>
                      <w:r>
                        <w:t>energy. It includes walking, cycling, sports and</w:t>
                      </w:r>
                      <w:r>
                        <w:rPr>
                          <w:spacing w:val="1"/>
                        </w:rPr>
                        <w:t xml:space="preserve"> </w:t>
                      </w:r>
                      <w:r>
                        <w:t>active</w:t>
                      </w:r>
                      <w:r>
                        <w:rPr>
                          <w:spacing w:val="-8"/>
                        </w:rPr>
                        <w:t xml:space="preserve"> </w:t>
                      </w:r>
                      <w:r>
                        <w:t>recreation.</w:t>
                      </w:r>
                    </w:p>
                    <w:p w14:paraId="3E487B18" w14:textId="77777777" w:rsidR="00D657A2" w:rsidRDefault="00D657A2" w:rsidP="00597457">
                      <w:pPr>
                        <w:pStyle w:val="TableText"/>
                        <w:spacing w:before="120" w:after="120"/>
                        <w:ind w:left="113" w:right="113"/>
                      </w:pPr>
                      <w:r>
                        <w:rPr>
                          <w:rFonts w:ascii="Gill Sans MT"/>
                          <w:b/>
                        </w:rPr>
                        <w:t xml:space="preserve">Sedentary behaviour </w:t>
                      </w:r>
                      <w:r>
                        <w:t>is activity that uses only low</w:t>
                      </w:r>
                      <w:r>
                        <w:rPr>
                          <w:spacing w:val="-53"/>
                        </w:rPr>
                        <w:t xml:space="preserve"> </w:t>
                      </w:r>
                      <w:r>
                        <w:t xml:space="preserve">levels of energy such as sitting, </w:t>
                      </w:r>
                      <w:r>
                        <w:t>reclining and lying</w:t>
                      </w:r>
                      <w:r>
                        <w:rPr>
                          <w:spacing w:val="-52"/>
                        </w:rPr>
                        <w:t xml:space="preserve"> </w:t>
                      </w:r>
                      <w:r>
                        <w:t>down.</w:t>
                      </w:r>
                    </w:p>
                    <w:p w14:paraId="7DA71AD0" w14:textId="77777777" w:rsidR="00D657A2" w:rsidRDefault="00D657A2" w:rsidP="00597457">
                      <w:pPr>
                        <w:pStyle w:val="TableText"/>
                        <w:spacing w:before="120" w:after="120"/>
                        <w:ind w:left="113" w:right="113"/>
                      </w:pPr>
                      <w:r>
                        <w:rPr>
                          <w:rFonts w:ascii="Gill Sans MT"/>
                          <w:b/>
                        </w:rPr>
                        <w:t>Incidental</w:t>
                      </w:r>
                      <w:r>
                        <w:rPr>
                          <w:rFonts w:ascii="Gill Sans MT"/>
                          <w:b/>
                          <w:spacing w:val="-8"/>
                        </w:rPr>
                        <w:t xml:space="preserve"> </w:t>
                      </w:r>
                      <w:r>
                        <w:rPr>
                          <w:rFonts w:ascii="Gill Sans MT"/>
                          <w:b/>
                        </w:rPr>
                        <w:t>physical</w:t>
                      </w:r>
                      <w:r>
                        <w:rPr>
                          <w:rFonts w:ascii="Gill Sans MT"/>
                          <w:b/>
                          <w:spacing w:val="-8"/>
                        </w:rPr>
                        <w:t xml:space="preserve"> </w:t>
                      </w:r>
                      <w:r>
                        <w:rPr>
                          <w:rFonts w:ascii="Gill Sans MT"/>
                          <w:b/>
                        </w:rPr>
                        <w:t>activit</w:t>
                      </w:r>
                      <w:r>
                        <w:t>y</w:t>
                      </w:r>
                      <w:r>
                        <w:rPr>
                          <w:spacing w:val="-7"/>
                        </w:rPr>
                        <w:t xml:space="preserve"> </w:t>
                      </w:r>
                      <w:r>
                        <w:t>is</w:t>
                      </w:r>
                      <w:r>
                        <w:rPr>
                          <w:spacing w:val="-6"/>
                        </w:rPr>
                        <w:t xml:space="preserve"> </w:t>
                      </w:r>
                      <w:r>
                        <w:t>activity</w:t>
                      </w:r>
                      <w:r>
                        <w:rPr>
                          <w:spacing w:val="-7"/>
                        </w:rPr>
                        <w:t xml:space="preserve"> </w:t>
                      </w:r>
                      <w:r>
                        <w:t>required</w:t>
                      </w:r>
                      <w:r>
                        <w:rPr>
                          <w:spacing w:val="-51"/>
                        </w:rPr>
                        <w:t xml:space="preserve"> </w:t>
                      </w:r>
                      <w:r>
                        <w:t>to engage in normal daily activities, such as</w:t>
                      </w:r>
                      <w:r>
                        <w:rPr>
                          <w:spacing w:val="1"/>
                        </w:rPr>
                        <w:t xml:space="preserve"> </w:t>
                      </w:r>
                      <w:r>
                        <w:t>housework, gardening</w:t>
                      </w:r>
                      <w:r>
                        <w:rPr>
                          <w:spacing w:val="1"/>
                        </w:rPr>
                        <w:t xml:space="preserve"> </w:t>
                      </w:r>
                      <w:r>
                        <w:t>or</w:t>
                      </w:r>
                      <w:r>
                        <w:rPr>
                          <w:spacing w:val="1"/>
                        </w:rPr>
                        <w:t xml:space="preserve"> </w:t>
                      </w:r>
                      <w:r>
                        <w:t>walking</w:t>
                      </w:r>
                      <w:r>
                        <w:rPr>
                          <w:spacing w:val="1"/>
                        </w:rPr>
                        <w:t xml:space="preserve"> </w:t>
                      </w:r>
                      <w:r>
                        <w:t>to</w:t>
                      </w:r>
                      <w:r>
                        <w:rPr>
                          <w:spacing w:val="1"/>
                        </w:rPr>
                        <w:t xml:space="preserve"> </w:t>
                      </w:r>
                      <w:r>
                        <w:t>the shop.</w:t>
                      </w:r>
                    </w:p>
                    <w:p w14:paraId="0EBC8844" w14:textId="77777777" w:rsidR="00D657A2" w:rsidRDefault="00D657A2" w:rsidP="00597457">
                      <w:pPr>
                        <w:pStyle w:val="TableText"/>
                        <w:spacing w:before="120" w:after="120"/>
                        <w:ind w:left="113" w:right="113"/>
                      </w:pPr>
                      <w:r>
                        <w:rPr>
                          <w:rFonts w:ascii="Gill Sans MT"/>
                          <w:b/>
                        </w:rPr>
                        <w:t>Active</w:t>
                      </w:r>
                      <w:r>
                        <w:rPr>
                          <w:rFonts w:ascii="Gill Sans MT"/>
                          <w:b/>
                          <w:spacing w:val="-13"/>
                        </w:rPr>
                        <w:t xml:space="preserve"> </w:t>
                      </w:r>
                      <w:r>
                        <w:rPr>
                          <w:rFonts w:ascii="Gill Sans MT"/>
                          <w:b/>
                        </w:rPr>
                        <w:t>recreation</w:t>
                      </w:r>
                      <w:r>
                        <w:rPr>
                          <w:rFonts w:ascii="Gill Sans MT"/>
                          <w:b/>
                          <w:spacing w:val="-7"/>
                        </w:rPr>
                        <w:t xml:space="preserve"> </w:t>
                      </w:r>
                      <w:r>
                        <w:t>is</w:t>
                      </w:r>
                      <w:r>
                        <w:rPr>
                          <w:spacing w:val="-12"/>
                        </w:rPr>
                        <w:t xml:space="preserve"> </w:t>
                      </w:r>
                      <w:r>
                        <w:t>leisure-time</w:t>
                      </w:r>
                      <w:r>
                        <w:rPr>
                          <w:spacing w:val="-12"/>
                        </w:rPr>
                        <w:t xml:space="preserve"> </w:t>
                      </w:r>
                      <w:r>
                        <w:t>activity</w:t>
                      </w:r>
                      <w:r>
                        <w:rPr>
                          <w:spacing w:val="-12"/>
                        </w:rPr>
                        <w:t xml:space="preserve"> </w:t>
                      </w:r>
                      <w:r>
                        <w:t>people</w:t>
                      </w:r>
                      <w:r>
                        <w:rPr>
                          <w:spacing w:val="-12"/>
                        </w:rPr>
                        <w:t xml:space="preserve"> </w:t>
                      </w:r>
                      <w:r>
                        <w:t>do</w:t>
                      </w:r>
                      <w:r>
                        <w:rPr>
                          <w:spacing w:val="-51"/>
                        </w:rPr>
                        <w:t xml:space="preserve"> </w:t>
                      </w:r>
                      <w:r>
                        <w:t>for the purpose of relaxation, health and wellbeing</w:t>
                      </w:r>
                      <w:r>
                        <w:rPr>
                          <w:spacing w:val="-52"/>
                        </w:rPr>
                        <w:t xml:space="preserve"> </w:t>
                      </w:r>
                      <w:r>
                        <w:t>or enjoyment, such as gym workouts, walking and</w:t>
                      </w:r>
                      <w:r>
                        <w:rPr>
                          <w:spacing w:val="1"/>
                        </w:rPr>
                        <w:t xml:space="preserve"> </w:t>
                      </w:r>
                      <w:r>
                        <w:t>running.</w:t>
                      </w:r>
                    </w:p>
                    <w:p w14:paraId="71C43EFD" w14:textId="77777777" w:rsidR="00D657A2" w:rsidRDefault="00D657A2" w:rsidP="00597457">
                      <w:pPr>
                        <w:pStyle w:val="TableText"/>
                        <w:spacing w:before="120" w:after="120"/>
                        <w:ind w:left="113" w:right="113"/>
                      </w:pPr>
                      <w:r>
                        <w:rPr>
                          <w:rFonts w:ascii="Gill Sans MT" w:hAnsi="Gill Sans MT"/>
                          <w:b/>
                        </w:rPr>
                        <w:t>Active</w:t>
                      </w:r>
                      <w:r>
                        <w:rPr>
                          <w:rFonts w:ascii="Gill Sans MT" w:hAnsi="Gill Sans MT"/>
                          <w:b/>
                          <w:spacing w:val="-8"/>
                        </w:rPr>
                        <w:t xml:space="preserve"> </w:t>
                      </w:r>
                      <w:r>
                        <w:rPr>
                          <w:rFonts w:ascii="Gill Sans MT" w:hAnsi="Gill Sans MT"/>
                          <w:b/>
                        </w:rPr>
                        <w:t>transport</w:t>
                      </w:r>
                      <w:r>
                        <w:rPr>
                          <w:rFonts w:ascii="Gill Sans MT" w:hAnsi="Gill Sans MT"/>
                          <w:b/>
                          <w:spacing w:val="-3"/>
                        </w:rPr>
                        <w:t xml:space="preserve"> </w:t>
                      </w:r>
                      <w:r>
                        <w:t>is</w:t>
                      </w:r>
                      <w:r>
                        <w:rPr>
                          <w:spacing w:val="-7"/>
                        </w:rPr>
                        <w:t xml:space="preserve"> </w:t>
                      </w:r>
                      <w:r>
                        <w:t>physical</w:t>
                      </w:r>
                      <w:r>
                        <w:rPr>
                          <w:spacing w:val="-7"/>
                        </w:rPr>
                        <w:t xml:space="preserve"> </w:t>
                      </w:r>
                      <w:r>
                        <w:t>activity</w:t>
                      </w:r>
                      <w:r>
                        <w:rPr>
                          <w:spacing w:val="-6"/>
                        </w:rPr>
                        <w:t xml:space="preserve"> </w:t>
                      </w:r>
                      <w:r>
                        <w:t>people</w:t>
                      </w:r>
                      <w:r>
                        <w:rPr>
                          <w:spacing w:val="-7"/>
                        </w:rPr>
                        <w:t xml:space="preserve"> </w:t>
                      </w:r>
                      <w:r>
                        <w:t>do</w:t>
                      </w:r>
                      <w:r>
                        <w:rPr>
                          <w:spacing w:val="-7"/>
                        </w:rPr>
                        <w:t xml:space="preserve"> </w:t>
                      </w:r>
                      <w:r>
                        <w:t>as</w:t>
                      </w:r>
                      <w:r>
                        <w:rPr>
                          <w:spacing w:val="-51"/>
                        </w:rPr>
                        <w:t xml:space="preserve"> </w:t>
                      </w:r>
                      <w:r>
                        <w:t>means of transport – travel by foot, bicycle and</w:t>
                      </w:r>
                      <w:r>
                        <w:rPr>
                          <w:spacing w:val="1"/>
                        </w:rPr>
                        <w:t xml:space="preserve"> </w:t>
                      </w:r>
                      <w:r>
                        <w:rPr>
                          <w:w w:val="105"/>
                        </w:rPr>
                        <w:t>other</w:t>
                      </w:r>
                      <w:r>
                        <w:rPr>
                          <w:spacing w:val="-12"/>
                          <w:w w:val="105"/>
                        </w:rPr>
                        <w:t xml:space="preserve"> </w:t>
                      </w:r>
                      <w:r>
                        <w:rPr>
                          <w:w w:val="105"/>
                        </w:rPr>
                        <w:t>non-motorised</w:t>
                      </w:r>
                      <w:r>
                        <w:rPr>
                          <w:spacing w:val="-11"/>
                          <w:w w:val="105"/>
                        </w:rPr>
                        <w:t xml:space="preserve"> </w:t>
                      </w:r>
                      <w:r>
                        <w:rPr>
                          <w:w w:val="105"/>
                        </w:rPr>
                        <w:t>vehicles.</w:t>
                      </w:r>
                    </w:p>
                  </w:txbxContent>
                </v:textbox>
                <w10:wrap type="square" side="left" anchorx="page"/>
              </v:shape>
            </w:pict>
          </mc:Fallback>
        </mc:AlternateContent>
      </w:r>
      <w:r w:rsidRPr="00C000B2">
        <w:t>What is the connection between physical activity and cancer?</w:t>
      </w:r>
      <w:bookmarkEnd w:id="142"/>
    </w:p>
    <w:p w14:paraId="113EFD8A" w14:textId="77777777" w:rsidR="00EF27EC" w:rsidRPr="00C000B2" w:rsidRDefault="00EF27EC" w:rsidP="00F729B7">
      <w:r w:rsidRPr="00C000B2">
        <w:t xml:space="preserve">Physical activity protects against developing many cancers including breast, </w:t>
      </w:r>
      <w:proofErr w:type="gramStart"/>
      <w:r w:rsidRPr="00C000B2">
        <w:t>bowel</w:t>
      </w:r>
      <w:proofErr w:type="gramEnd"/>
      <w:r w:rsidRPr="00C000B2">
        <w:t xml:space="preserve"> and uterine cancers (</w:t>
      </w:r>
      <w:r w:rsidR="00F729B7">
        <w:fldChar w:fldCharType="begin"/>
      </w:r>
      <w:r w:rsidR="00F729B7">
        <w:instrText xml:space="preserve"> REF _Ref94859749 \h </w:instrText>
      </w:r>
      <w:r w:rsidR="00F729B7">
        <w:fldChar w:fldCharType="separate"/>
      </w:r>
      <w:r w:rsidR="006E6019">
        <w:t>Figure </w:t>
      </w:r>
      <w:r w:rsidR="006E6019">
        <w:rPr>
          <w:noProof/>
        </w:rPr>
        <w:t>23</w:t>
      </w:r>
      <w:r w:rsidR="00F729B7">
        <w:fldChar w:fldCharType="end"/>
      </w:r>
      <w:r w:rsidRPr="00C000B2">
        <w:t>). It can also limit weight gain, which is linked with some cancers as discussed in the previous section.</w:t>
      </w:r>
      <w:r w:rsidRPr="00597457">
        <w:rPr>
          <w:vertAlign w:val="superscript"/>
        </w:rPr>
        <w:t>45,</w:t>
      </w:r>
      <w:r w:rsidR="00597457" w:rsidRPr="00597457">
        <w:rPr>
          <w:vertAlign w:val="superscript"/>
        </w:rPr>
        <w:t> </w:t>
      </w:r>
      <w:r w:rsidRPr="00597457">
        <w:rPr>
          <w:vertAlign w:val="superscript"/>
        </w:rPr>
        <w:t>265</w:t>
      </w:r>
      <w:r w:rsidRPr="00C000B2">
        <w:t xml:space="preserve"> All physical activity is beneficial and the protective effect increases as physical activity levels increase.</w:t>
      </w:r>
      <w:r w:rsidRPr="00597457">
        <w:rPr>
          <w:vertAlign w:val="superscript"/>
        </w:rPr>
        <w:t>45</w:t>
      </w:r>
      <w:r w:rsidRPr="00C000B2">
        <w:t xml:space="preserve"> In addition, emerging evidence suggests that prolonged periods of sedentary behaviour are associated with an increased risk of developing some cancers (</w:t>
      </w:r>
      <w:r w:rsidR="00597457">
        <w:fldChar w:fldCharType="begin"/>
      </w:r>
      <w:r w:rsidR="00597457">
        <w:instrText xml:space="preserve"> REF _Ref94865934 \h </w:instrText>
      </w:r>
      <w:r w:rsidR="00597457">
        <w:fldChar w:fldCharType="separate"/>
      </w:r>
      <w:r w:rsidR="006E6019">
        <w:t>Figure </w:t>
      </w:r>
      <w:r w:rsidR="006E6019">
        <w:rPr>
          <w:noProof/>
        </w:rPr>
        <w:t>24</w:t>
      </w:r>
      <w:r w:rsidR="00597457">
        <w:fldChar w:fldCharType="end"/>
      </w:r>
      <w:r w:rsidRPr="00C000B2">
        <w:t>), independent of the amount of physical activity undertaken.</w:t>
      </w:r>
      <w:r w:rsidRPr="00597457">
        <w:rPr>
          <w:vertAlign w:val="superscript"/>
        </w:rPr>
        <w:t>45,</w:t>
      </w:r>
      <w:r w:rsidR="00597457" w:rsidRPr="00597457">
        <w:rPr>
          <w:vertAlign w:val="superscript"/>
        </w:rPr>
        <w:t> </w:t>
      </w:r>
      <w:r w:rsidRPr="00597457">
        <w:rPr>
          <w:vertAlign w:val="superscript"/>
        </w:rPr>
        <w:t>265</w:t>
      </w:r>
      <w:r w:rsidRPr="00C000B2">
        <w:t xml:space="preserve"> The risk of cancer is 24</w:t>
      </w:r>
      <w:r w:rsidR="00597457">
        <w:t> </w:t>
      </w:r>
      <w:r w:rsidRPr="00C000B2">
        <w:t>percent higher in those with high levels of sitting compared with those with low levels of sedentary behaviour, and cancer mortality increases by 2 percent for each additional hour spent sedentary each day.</w:t>
      </w:r>
      <w:r w:rsidRPr="00F729B7">
        <w:rPr>
          <w:vertAlign w:val="superscript"/>
        </w:rPr>
        <w:t>45</w:t>
      </w:r>
    </w:p>
    <w:p w14:paraId="389144FD" w14:textId="77777777" w:rsidR="00F729B7" w:rsidRDefault="00F729B7" w:rsidP="00F729B7"/>
    <w:p w14:paraId="38107E0B" w14:textId="77777777" w:rsidR="00EF27EC" w:rsidRDefault="00EF27EC" w:rsidP="00F729B7">
      <w:r w:rsidRPr="00C000B2">
        <w:t>Increasing physical activity and decreasing sedentary behaviour could prevent a considerable proportion of our cancer burden. In 2019, low physical activity caused an estimated 1.5 percent of all cancer deaths in Aotearoa (over 150 deaths), including almost 9</w:t>
      </w:r>
      <w:r w:rsidR="00597457">
        <w:t> </w:t>
      </w:r>
      <w:r w:rsidRPr="00C000B2">
        <w:t>percent of bowel cancer deaths.</w:t>
      </w:r>
      <w:r w:rsidRPr="00F729B7">
        <w:rPr>
          <w:vertAlign w:val="superscript"/>
        </w:rPr>
        <w:t>20</w:t>
      </w:r>
    </w:p>
    <w:p w14:paraId="6BC0478E" w14:textId="77777777" w:rsidR="00F729B7" w:rsidRPr="00C000B2" w:rsidRDefault="00F729B7" w:rsidP="00F729B7"/>
    <w:p w14:paraId="4A861170" w14:textId="77777777" w:rsidR="00EF27EC" w:rsidRDefault="00F729B7" w:rsidP="00F729B7">
      <w:pPr>
        <w:pStyle w:val="Figure"/>
        <w:rPr>
          <w:b w:val="0"/>
        </w:rPr>
      </w:pPr>
      <w:bookmarkStart w:id="143" w:name="_Ref94859749"/>
      <w:bookmarkStart w:id="144" w:name="_Toc95059144"/>
      <w:r>
        <w:lastRenderedPageBreak/>
        <w:t>Figure </w:t>
      </w:r>
      <w:r w:rsidR="00F50B6E">
        <w:fldChar w:fldCharType="begin"/>
      </w:r>
      <w:r w:rsidR="00F50B6E">
        <w:instrText xml:space="preserve"> SEQ Figure \* ARABIC </w:instrText>
      </w:r>
      <w:r w:rsidR="00F50B6E">
        <w:fldChar w:fldCharType="separate"/>
      </w:r>
      <w:r w:rsidR="006E6019">
        <w:rPr>
          <w:noProof/>
        </w:rPr>
        <w:t>23</w:t>
      </w:r>
      <w:r w:rsidR="00F50B6E">
        <w:rPr>
          <w:noProof/>
        </w:rPr>
        <w:fldChar w:fldCharType="end"/>
      </w:r>
      <w:bookmarkEnd w:id="143"/>
      <w:r w:rsidR="00EF27EC" w:rsidRPr="00C000B2">
        <w:t>: Association between physical activity and the risk of cancer</w:t>
      </w:r>
      <w:r w:rsidR="00EF27EC" w:rsidRPr="00F729B7">
        <w:rPr>
          <w:b w:val="0"/>
          <w:vertAlign w:val="superscript"/>
        </w:rPr>
        <w:t>45</w:t>
      </w:r>
      <w:bookmarkEnd w:id="144"/>
    </w:p>
    <w:p w14:paraId="1457E376" w14:textId="4F8F2064" w:rsidR="00F729B7" w:rsidRPr="00F729B7" w:rsidRDefault="00D657A2" w:rsidP="00F729B7">
      <w:r>
        <w:rPr>
          <w:noProof/>
        </w:rPr>
        <w:drawing>
          <wp:inline distT="0" distB="0" distL="0" distR="0" wp14:anchorId="40DA8407" wp14:editId="059E18E4">
            <wp:extent cx="4981575" cy="1628775"/>
            <wp:effectExtent l="0" t="0" r="9525" b="9525"/>
            <wp:docPr id="943" name="Picture 943" descr="Physical activity can reduce the risk of these cancers: bowel, uterus, kidney, stomach, prostate, pancreas, breast, oesophagus, bladder, lung, ovary. Sedentary behaviours can increase the risk of these cancers: bowel, uterus, breast,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943" descr="Physical activity can reduce the risk of these cancers: bowel, uterus, kidney, stomach, prostate, pancreas, breast, oesophagus, bladder, lung, ovary. Sedentary behaviours can increase the risk of these cancers: bowel, uterus, breast, lung"/>
                    <pic:cNvPicPr/>
                  </pic:nvPicPr>
                  <pic:blipFill>
                    <a:blip r:embed="rId53"/>
                    <a:stretch>
                      <a:fillRect/>
                    </a:stretch>
                  </pic:blipFill>
                  <pic:spPr>
                    <a:xfrm>
                      <a:off x="0" y="0"/>
                      <a:ext cx="4981575" cy="1628775"/>
                    </a:xfrm>
                    <a:prstGeom prst="rect">
                      <a:avLst/>
                    </a:prstGeom>
                  </pic:spPr>
                </pic:pic>
              </a:graphicData>
            </a:graphic>
          </wp:inline>
        </w:drawing>
      </w:r>
    </w:p>
    <w:p w14:paraId="0ABDDD51" w14:textId="77777777" w:rsidR="00EF27EC" w:rsidRPr="00C000B2" w:rsidRDefault="00EF27EC" w:rsidP="00597457"/>
    <w:p w14:paraId="30E02FCA" w14:textId="77777777" w:rsidR="00EF27EC" w:rsidRPr="00F729B7" w:rsidRDefault="00F729B7" w:rsidP="00F729B7">
      <w:pPr>
        <w:pStyle w:val="Figure"/>
        <w:rPr>
          <w:b w:val="0"/>
        </w:rPr>
      </w:pPr>
      <w:bookmarkStart w:id="145" w:name="_Ref94865934"/>
      <w:bookmarkStart w:id="146" w:name="_Toc95059145"/>
      <w:r>
        <w:t>Figure </w:t>
      </w:r>
      <w:r w:rsidR="00F50B6E">
        <w:fldChar w:fldCharType="begin"/>
      </w:r>
      <w:r w:rsidR="00F50B6E">
        <w:instrText xml:space="preserve"> SEQ Figure \* ARABIC </w:instrText>
      </w:r>
      <w:r w:rsidR="00F50B6E">
        <w:fldChar w:fldCharType="separate"/>
      </w:r>
      <w:r w:rsidR="006E6019">
        <w:rPr>
          <w:noProof/>
        </w:rPr>
        <w:t>24</w:t>
      </w:r>
      <w:r w:rsidR="00F50B6E">
        <w:rPr>
          <w:noProof/>
        </w:rPr>
        <w:fldChar w:fldCharType="end"/>
      </w:r>
      <w:bookmarkStart w:id="147" w:name="How_big_is_the_problem_of_physical_inact"/>
      <w:bookmarkStart w:id="148" w:name="Figure_24:_Cancers_related_to_physical_i"/>
      <w:bookmarkStart w:id="149" w:name="_bookmark26"/>
      <w:bookmarkEnd w:id="145"/>
      <w:bookmarkEnd w:id="147"/>
      <w:bookmarkEnd w:id="148"/>
      <w:bookmarkEnd w:id="149"/>
      <w:r w:rsidR="00EF27EC" w:rsidRPr="00C000B2">
        <w:t>: Cancers related to physical inactivity or sedentary behaviour</w:t>
      </w:r>
      <w:r w:rsidR="00EF27EC" w:rsidRPr="00F729B7">
        <w:rPr>
          <w:b w:val="0"/>
          <w:vertAlign w:val="superscript"/>
        </w:rPr>
        <w:t>45</w:t>
      </w:r>
      <w:bookmarkEnd w:id="146"/>
    </w:p>
    <w:p w14:paraId="2396172D" w14:textId="77777777" w:rsidR="00EF27EC" w:rsidRPr="00C000B2" w:rsidRDefault="00F729B7" w:rsidP="00F729B7">
      <w:r>
        <w:rPr>
          <w:noProof/>
          <w:lang w:eastAsia="en-NZ"/>
        </w:rPr>
        <w:drawing>
          <wp:inline distT="0" distB="0" distL="0" distR="0" wp14:anchorId="5ECB8AB7" wp14:editId="41957A9A">
            <wp:extent cx="3419061" cy="3252277"/>
            <wp:effectExtent l="0" t="0" r="0" b="5715"/>
            <wp:docPr id="1405" name="Picture 1405" title="Figure 24: Cancers related to physical inactivity or sedentary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420434" cy="3253583"/>
                    </a:xfrm>
                    <a:prstGeom prst="rect">
                      <a:avLst/>
                    </a:prstGeom>
                  </pic:spPr>
                </pic:pic>
              </a:graphicData>
            </a:graphic>
          </wp:inline>
        </w:drawing>
      </w:r>
    </w:p>
    <w:p w14:paraId="5003D511" w14:textId="77777777" w:rsidR="00EF27EC" w:rsidRPr="00C000B2" w:rsidRDefault="00EF27EC" w:rsidP="00F729B7"/>
    <w:p w14:paraId="3E11BE19" w14:textId="77777777" w:rsidR="00EF27EC" w:rsidRPr="00C000B2" w:rsidRDefault="00EF27EC" w:rsidP="00F729B7">
      <w:pPr>
        <w:pStyle w:val="Heading2"/>
      </w:pPr>
      <w:bookmarkStart w:id="150" w:name="_Toc95742662"/>
      <w:r w:rsidRPr="00C000B2">
        <w:t>How big is the problem of physical inactivity in Aotearoa?</w:t>
      </w:r>
      <w:bookmarkEnd w:id="150"/>
    </w:p>
    <w:p w14:paraId="49B6A584" w14:textId="77777777" w:rsidR="00EF27EC" w:rsidRPr="00C000B2" w:rsidRDefault="00EF27EC" w:rsidP="00F729B7">
      <w:r w:rsidRPr="00C000B2">
        <w:t>Many adults, youth and children in Aotearoa are not active enough. Only half (52</w:t>
      </w:r>
      <w:r w:rsidR="00F729B7">
        <w:t> </w:t>
      </w:r>
      <w:r w:rsidRPr="00C000B2">
        <w:t>percent) of adults (aged 15 years and older) reported being physically active for the recommended minimum of</w:t>
      </w:r>
      <w:r w:rsidR="00F729B7">
        <w:t xml:space="preserve"> </w:t>
      </w:r>
      <w:r w:rsidRPr="00C000B2">
        <w:t>2.5 hours per week (</w:t>
      </w:r>
      <w:r w:rsidR="00F729B7">
        <w:fldChar w:fldCharType="begin"/>
      </w:r>
      <w:r w:rsidR="00F729B7">
        <w:instrText xml:space="preserve"> REF _Ref94859942 \h </w:instrText>
      </w:r>
      <w:r w:rsidR="00F729B7">
        <w:fldChar w:fldCharType="separate"/>
      </w:r>
      <w:r w:rsidR="006E6019">
        <w:t>Table </w:t>
      </w:r>
      <w:r w:rsidR="006E6019">
        <w:rPr>
          <w:noProof/>
        </w:rPr>
        <w:t>2</w:t>
      </w:r>
      <w:r w:rsidR="00F729B7">
        <w:fldChar w:fldCharType="end"/>
      </w:r>
      <w:r w:rsidRPr="00C000B2">
        <w:t>) in 2019/20 (</w:t>
      </w:r>
      <w:r w:rsidR="00F729B7">
        <w:fldChar w:fldCharType="begin"/>
      </w:r>
      <w:r w:rsidR="00F729B7">
        <w:instrText xml:space="preserve"> REF _Ref94859990 \h </w:instrText>
      </w:r>
      <w:r w:rsidR="00F729B7">
        <w:fldChar w:fldCharType="separate"/>
      </w:r>
      <w:r w:rsidR="006E6019">
        <w:t>Figure </w:t>
      </w:r>
      <w:r w:rsidR="006E6019">
        <w:rPr>
          <w:noProof/>
        </w:rPr>
        <w:t>25</w:t>
      </w:r>
      <w:r w:rsidR="00F729B7">
        <w:fldChar w:fldCharType="end"/>
      </w:r>
      <w:r w:rsidRPr="00C000B2">
        <w:t>). One in eight adults was physically inactive (that is, they did less than 30 minutes physical activity a week).</w:t>
      </w:r>
      <w:r w:rsidRPr="00F729B7">
        <w:rPr>
          <w:vertAlign w:val="superscript"/>
        </w:rPr>
        <w:t>49</w:t>
      </w:r>
    </w:p>
    <w:p w14:paraId="7EF88A06" w14:textId="77777777" w:rsidR="00EF27EC" w:rsidRDefault="00EF27EC" w:rsidP="00EF27EC">
      <w:pPr>
        <w:spacing w:before="5"/>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E87CF6" w14:paraId="0329E9B7" w14:textId="77777777" w:rsidTr="00F729B7">
        <w:trPr>
          <w:cantSplit/>
        </w:trPr>
        <w:tc>
          <w:tcPr>
            <w:tcW w:w="426" w:type="dxa"/>
            <w:tcBorders>
              <w:right w:val="single" w:sz="48" w:space="0" w:color="FFFFFF" w:themeColor="background1"/>
            </w:tcBorders>
            <w:shd w:val="clear" w:color="auto" w:fill="F37973"/>
          </w:tcPr>
          <w:p w14:paraId="1FD3F68D" w14:textId="77777777" w:rsidR="00E87CF6" w:rsidRDefault="00E87CF6" w:rsidP="00F729B7">
            <w:pPr>
              <w:keepNext/>
            </w:pPr>
          </w:p>
        </w:tc>
        <w:tc>
          <w:tcPr>
            <w:tcW w:w="7371" w:type="dxa"/>
          </w:tcPr>
          <w:p w14:paraId="21A64821" w14:textId="77777777" w:rsidR="00E87CF6" w:rsidRDefault="00F729B7" w:rsidP="00F729B7">
            <w:pPr>
              <w:keepNext/>
            </w:pPr>
            <w:r w:rsidRPr="00C000B2">
              <w:t>Women and Māori, Pacific and Asian adults were more likely to be physically inactive in 2019 (</w:t>
            </w:r>
            <w:r>
              <w:fldChar w:fldCharType="begin"/>
            </w:r>
            <w:r>
              <w:instrText xml:space="preserve"> REF _Ref94860067 \h </w:instrText>
            </w:r>
            <w:r>
              <w:fldChar w:fldCharType="separate"/>
            </w:r>
            <w:r w:rsidR="006E6019">
              <w:t>Figure </w:t>
            </w:r>
            <w:r w:rsidR="006E6019">
              <w:rPr>
                <w:noProof/>
              </w:rPr>
              <w:t>26</w:t>
            </w:r>
            <w:r>
              <w:fldChar w:fldCharType="end"/>
            </w:r>
            <w:r w:rsidRPr="00C000B2">
              <w:t>).</w:t>
            </w:r>
            <w:r w:rsidRPr="00F729B7">
              <w:rPr>
                <w:vertAlign w:val="superscript"/>
              </w:rPr>
              <w:t>49</w:t>
            </w:r>
            <w:r w:rsidRPr="00C000B2">
              <w:t xml:space="preserve"> New Zealanders living in the most deprived areas spend less time being physically active and participate in fewer sports and activities each week.</w:t>
            </w:r>
            <w:r w:rsidRPr="00F729B7">
              <w:rPr>
                <w:vertAlign w:val="superscript"/>
              </w:rPr>
              <w:t>49, 266</w:t>
            </w:r>
          </w:p>
        </w:tc>
      </w:tr>
    </w:tbl>
    <w:p w14:paraId="79F7CF25" w14:textId="77777777" w:rsidR="00597457" w:rsidRPr="00C000B2" w:rsidRDefault="00597457" w:rsidP="00F729B7"/>
    <w:p w14:paraId="32D2AB17" w14:textId="77777777" w:rsidR="00EF27EC" w:rsidRPr="00F729B7" w:rsidRDefault="00F729B7" w:rsidP="00F729B7">
      <w:pPr>
        <w:pStyle w:val="Table"/>
        <w:rPr>
          <w:b w:val="0"/>
        </w:rPr>
      </w:pPr>
      <w:bookmarkStart w:id="151" w:name="Figure_25:_Proportion_of_adults_and_youn"/>
      <w:bookmarkStart w:id="152" w:name="Table_2:_New_Zealand_Physical_Activity_G"/>
      <w:bookmarkStart w:id="153" w:name="_bookmark27"/>
      <w:bookmarkStart w:id="154" w:name="_Ref94859942"/>
      <w:bookmarkStart w:id="155" w:name="_Toc95059084"/>
      <w:bookmarkEnd w:id="151"/>
      <w:bookmarkEnd w:id="152"/>
      <w:bookmarkEnd w:id="153"/>
      <w:r>
        <w:lastRenderedPageBreak/>
        <w:t>Table </w:t>
      </w:r>
      <w:r w:rsidR="00F50B6E">
        <w:fldChar w:fldCharType="begin"/>
      </w:r>
      <w:r w:rsidR="00F50B6E">
        <w:instrText xml:space="preserve"> SEQ Table \* ARABIC </w:instrText>
      </w:r>
      <w:r w:rsidR="00F50B6E">
        <w:fldChar w:fldCharType="separate"/>
      </w:r>
      <w:r w:rsidR="006E6019">
        <w:rPr>
          <w:noProof/>
        </w:rPr>
        <w:t>2</w:t>
      </w:r>
      <w:r w:rsidR="00F50B6E">
        <w:rPr>
          <w:noProof/>
        </w:rPr>
        <w:fldChar w:fldCharType="end"/>
      </w:r>
      <w:bookmarkEnd w:id="154"/>
      <w:r w:rsidR="00EF27EC" w:rsidRPr="00C000B2">
        <w:t>: New Zealand Physical Activity Guidelines</w:t>
      </w:r>
      <w:r w:rsidR="00EF27EC" w:rsidRPr="00F729B7">
        <w:rPr>
          <w:b w:val="0"/>
          <w:vertAlign w:val="superscript"/>
        </w:rPr>
        <w:t>198,</w:t>
      </w:r>
      <w:r>
        <w:rPr>
          <w:b w:val="0"/>
          <w:vertAlign w:val="superscript"/>
        </w:rPr>
        <w:t> </w:t>
      </w:r>
      <w:r w:rsidR="00EF27EC" w:rsidRPr="00F729B7">
        <w:rPr>
          <w:b w:val="0"/>
          <w:vertAlign w:val="superscript"/>
        </w:rPr>
        <w:t>267,</w:t>
      </w:r>
      <w:r>
        <w:rPr>
          <w:b w:val="0"/>
          <w:vertAlign w:val="superscript"/>
        </w:rPr>
        <w:t> </w:t>
      </w:r>
      <w:r w:rsidR="00EF27EC" w:rsidRPr="00F729B7">
        <w:rPr>
          <w:b w:val="0"/>
          <w:vertAlign w:val="superscript"/>
        </w:rPr>
        <w:t>268</w:t>
      </w:r>
      <w:bookmarkEnd w:id="155"/>
    </w:p>
    <w:tbl>
      <w:tblPr>
        <w:tblW w:w="0" w:type="auto"/>
        <w:tblInd w:w="85" w:type="dxa"/>
        <w:tblBorders>
          <w:top w:val="dotted" w:sz="4" w:space="0" w:color="8ED0B9"/>
          <w:left w:val="dotted" w:sz="4" w:space="0" w:color="8ED0B9"/>
          <w:bottom w:val="dotted" w:sz="4" w:space="0" w:color="8ED0B9"/>
          <w:right w:val="dotted" w:sz="4" w:space="0" w:color="8ED0B9"/>
          <w:insideH w:val="dotted" w:sz="4" w:space="0" w:color="8ED0B9"/>
          <w:insideV w:val="dotted" w:sz="4" w:space="0" w:color="8ED0B9"/>
        </w:tblBorders>
        <w:tblLayout w:type="fixed"/>
        <w:tblCellMar>
          <w:left w:w="85" w:type="dxa"/>
          <w:right w:w="85" w:type="dxa"/>
        </w:tblCellMar>
        <w:tblLook w:val="01E0" w:firstRow="1" w:lastRow="1" w:firstColumn="1" w:lastColumn="1" w:noHBand="0" w:noVBand="0"/>
      </w:tblPr>
      <w:tblGrid>
        <w:gridCol w:w="2020"/>
        <w:gridCol w:w="2020"/>
        <w:gridCol w:w="2020"/>
        <w:gridCol w:w="2020"/>
      </w:tblGrid>
      <w:tr w:rsidR="00597457" w:rsidRPr="00597457" w14:paraId="50DE86D4" w14:textId="77777777" w:rsidTr="00597457">
        <w:trPr>
          <w:cantSplit/>
        </w:trPr>
        <w:tc>
          <w:tcPr>
            <w:tcW w:w="2020" w:type="dxa"/>
            <w:tcBorders>
              <w:top w:val="single" w:sz="4" w:space="0" w:color="FFFFFF"/>
              <w:left w:val="nil"/>
              <w:bottom w:val="nil"/>
              <w:right w:val="single" w:sz="4" w:space="0" w:color="FFFFFF"/>
            </w:tcBorders>
            <w:shd w:val="clear" w:color="auto" w:fill="22B893"/>
          </w:tcPr>
          <w:p w14:paraId="56FA6A72" w14:textId="77777777" w:rsidR="00EF27EC" w:rsidRPr="00597457" w:rsidRDefault="00EF27EC" w:rsidP="00597457">
            <w:pPr>
              <w:pStyle w:val="TableText"/>
              <w:rPr>
                <w:b/>
                <w:color w:val="FFFFFF" w:themeColor="background1"/>
              </w:rPr>
            </w:pPr>
            <w:r w:rsidRPr="00597457">
              <w:rPr>
                <w:b/>
                <w:color w:val="FFFFFF" w:themeColor="background1"/>
              </w:rPr>
              <w:t>Children under 5</w:t>
            </w:r>
            <w:r w:rsidR="00597457">
              <w:rPr>
                <w:b/>
                <w:color w:val="FFFFFF" w:themeColor="background1"/>
              </w:rPr>
              <w:t> </w:t>
            </w:r>
            <w:r w:rsidRPr="00597457">
              <w:rPr>
                <w:b/>
                <w:color w:val="FFFFFF" w:themeColor="background1"/>
              </w:rPr>
              <w:t>years</w:t>
            </w:r>
          </w:p>
        </w:tc>
        <w:tc>
          <w:tcPr>
            <w:tcW w:w="2020" w:type="dxa"/>
            <w:tcBorders>
              <w:top w:val="single" w:sz="4" w:space="0" w:color="FFFFFF"/>
              <w:left w:val="single" w:sz="4" w:space="0" w:color="FFFFFF"/>
              <w:bottom w:val="nil"/>
              <w:right w:val="single" w:sz="4" w:space="0" w:color="FFFFFF"/>
            </w:tcBorders>
            <w:shd w:val="clear" w:color="auto" w:fill="22B893"/>
          </w:tcPr>
          <w:p w14:paraId="5FD27021" w14:textId="77777777" w:rsidR="00EF27EC" w:rsidRPr="00597457" w:rsidRDefault="00EF27EC" w:rsidP="00597457">
            <w:pPr>
              <w:pStyle w:val="TableText"/>
              <w:rPr>
                <w:b/>
                <w:color w:val="FFFFFF" w:themeColor="background1"/>
              </w:rPr>
            </w:pPr>
            <w:r w:rsidRPr="00597457">
              <w:rPr>
                <w:b/>
                <w:color w:val="FFFFFF" w:themeColor="background1"/>
              </w:rPr>
              <w:t>Young people aged</w:t>
            </w:r>
            <w:r w:rsidR="00597457">
              <w:rPr>
                <w:b/>
                <w:color w:val="FFFFFF" w:themeColor="background1"/>
              </w:rPr>
              <w:br/>
            </w:r>
            <w:r w:rsidRPr="00597457">
              <w:rPr>
                <w:b/>
                <w:color w:val="FFFFFF" w:themeColor="background1"/>
              </w:rPr>
              <w:t>5–17 years</w:t>
            </w:r>
          </w:p>
        </w:tc>
        <w:tc>
          <w:tcPr>
            <w:tcW w:w="2020" w:type="dxa"/>
            <w:tcBorders>
              <w:top w:val="single" w:sz="4" w:space="0" w:color="FFFFFF"/>
              <w:left w:val="single" w:sz="4" w:space="0" w:color="FFFFFF"/>
              <w:bottom w:val="nil"/>
              <w:right w:val="single" w:sz="4" w:space="0" w:color="FFFFFF"/>
            </w:tcBorders>
            <w:shd w:val="clear" w:color="auto" w:fill="22B893"/>
          </w:tcPr>
          <w:p w14:paraId="27247E3A" w14:textId="77777777" w:rsidR="00EF27EC" w:rsidRPr="00597457" w:rsidRDefault="00EF27EC" w:rsidP="00597457">
            <w:pPr>
              <w:pStyle w:val="TableText"/>
              <w:rPr>
                <w:b/>
                <w:color w:val="FFFFFF" w:themeColor="background1"/>
              </w:rPr>
            </w:pPr>
            <w:r w:rsidRPr="00597457">
              <w:rPr>
                <w:b/>
                <w:color w:val="FFFFFF" w:themeColor="background1"/>
              </w:rPr>
              <w:t>Adults</w:t>
            </w:r>
          </w:p>
        </w:tc>
        <w:tc>
          <w:tcPr>
            <w:tcW w:w="2020" w:type="dxa"/>
            <w:tcBorders>
              <w:top w:val="single" w:sz="4" w:space="0" w:color="FFFFFF"/>
              <w:left w:val="single" w:sz="4" w:space="0" w:color="FFFFFF"/>
              <w:bottom w:val="nil"/>
              <w:right w:val="nil"/>
            </w:tcBorders>
            <w:shd w:val="clear" w:color="auto" w:fill="22B893"/>
          </w:tcPr>
          <w:p w14:paraId="3E0B418D" w14:textId="77777777" w:rsidR="00EF27EC" w:rsidRPr="00597457" w:rsidRDefault="00EF27EC" w:rsidP="00597457">
            <w:pPr>
              <w:pStyle w:val="TableText"/>
              <w:rPr>
                <w:b/>
                <w:color w:val="FFFFFF" w:themeColor="background1"/>
              </w:rPr>
            </w:pPr>
            <w:r w:rsidRPr="00597457">
              <w:rPr>
                <w:b/>
                <w:color w:val="FFFFFF" w:themeColor="background1"/>
              </w:rPr>
              <w:t>Older adults</w:t>
            </w:r>
          </w:p>
        </w:tc>
      </w:tr>
      <w:tr w:rsidR="00EF27EC" w:rsidRPr="00C000B2" w14:paraId="1C0B24E5" w14:textId="77777777" w:rsidTr="00597457">
        <w:trPr>
          <w:cantSplit/>
        </w:trPr>
        <w:tc>
          <w:tcPr>
            <w:tcW w:w="2020" w:type="dxa"/>
            <w:tcBorders>
              <w:top w:val="nil"/>
              <w:left w:val="nil"/>
            </w:tcBorders>
          </w:tcPr>
          <w:p w14:paraId="03E74D3C" w14:textId="77777777" w:rsidR="00EF27EC" w:rsidRPr="00597457" w:rsidRDefault="00EF27EC" w:rsidP="00597457">
            <w:pPr>
              <w:pStyle w:val="TableText"/>
              <w:rPr>
                <w:b/>
              </w:rPr>
            </w:pPr>
            <w:r w:rsidRPr="00597457">
              <w:rPr>
                <w:b/>
              </w:rPr>
              <w:t>Sit less</w:t>
            </w:r>
          </w:p>
          <w:p w14:paraId="5B8A9E95" w14:textId="77777777" w:rsidR="00EF27EC" w:rsidRPr="00C000B2" w:rsidRDefault="00EF27EC" w:rsidP="00597457">
            <w:pPr>
              <w:pStyle w:val="TableText"/>
            </w:pPr>
            <w:r w:rsidRPr="00C000B2">
              <w:t>Regular activity breaks</w:t>
            </w:r>
          </w:p>
          <w:p w14:paraId="6FF2A546" w14:textId="77777777" w:rsidR="00EF27EC" w:rsidRPr="00C000B2" w:rsidRDefault="00EF27EC" w:rsidP="00597457">
            <w:pPr>
              <w:pStyle w:val="TableText"/>
            </w:pPr>
            <w:r w:rsidRPr="00C000B2">
              <w:t>Discourage screen time for under 2s</w:t>
            </w:r>
          </w:p>
          <w:p w14:paraId="4ABB64E4" w14:textId="77777777" w:rsidR="00EF27EC" w:rsidRPr="00C000B2" w:rsidRDefault="00EF27EC" w:rsidP="00597457">
            <w:pPr>
              <w:pStyle w:val="TableText"/>
            </w:pPr>
            <w:r w:rsidRPr="00C000B2">
              <w:t>Limit screen time to less than one hour every day for over 2s</w:t>
            </w:r>
          </w:p>
          <w:p w14:paraId="121A5F6A" w14:textId="77777777" w:rsidR="00EF27EC" w:rsidRPr="00C000B2" w:rsidRDefault="00EF27EC" w:rsidP="00597457">
            <w:pPr>
              <w:pStyle w:val="TableText"/>
            </w:pPr>
            <w:r w:rsidRPr="00C000B2">
              <w:t>Limit time in movement restricting equipment</w:t>
            </w:r>
          </w:p>
        </w:tc>
        <w:tc>
          <w:tcPr>
            <w:tcW w:w="2020" w:type="dxa"/>
            <w:tcBorders>
              <w:top w:val="nil"/>
            </w:tcBorders>
          </w:tcPr>
          <w:p w14:paraId="18CB1E28" w14:textId="77777777" w:rsidR="00EF27EC" w:rsidRPr="00C000B2" w:rsidRDefault="00EF27EC" w:rsidP="00597457">
            <w:pPr>
              <w:pStyle w:val="TableText"/>
            </w:pPr>
            <w:r w:rsidRPr="00C000B2">
              <w:t xml:space="preserve">At least </w:t>
            </w:r>
            <w:r w:rsidRPr="00597457">
              <w:rPr>
                <w:b/>
              </w:rPr>
              <w:t>1 hour</w:t>
            </w:r>
            <w:r w:rsidRPr="00C000B2">
              <w:t xml:space="preserve"> of </w:t>
            </w:r>
            <w:r w:rsidRPr="00597457">
              <w:rPr>
                <w:b/>
              </w:rPr>
              <w:t>moderate or vigorous physical activity</w:t>
            </w:r>
            <w:r w:rsidRPr="00C000B2">
              <w:t xml:space="preserve"> spread over </w:t>
            </w:r>
            <w:r w:rsidRPr="00597457">
              <w:rPr>
                <w:b/>
              </w:rPr>
              <w:t>each day</w:t>
            </w:r>
          </w:p>
          <w:p w14:paraId="4350A44C" w14:textId="77777777" w:rsidR="00EF27EC" w:rsidRPr="00C000B2" w:rsidRDefault="00EF27EC" w:rsidP="00597457">
            <w:pPr>
              <w:pStyle w:val="TableText"/>
            </w:pPr>
            <w:r w:rsidRPr="00C000B2">
              <w:t>Light physical activity for several hours a day</w:t>
            </w:r>
          </w:p>
        </w:tc>
        <w:tc>
          <w:tcPr>
            <w:tcW w:w="2020" w:type="dxa"/>
            <w:tcBorders>
              <w:top w:val="nil"/>
            </w:tcBorders>
          </w:tcPr>
          <w:p w14:paraId="07BBC131" w14:textId="77777777" w:rsidR="00EF27EC" w:rsidRPr="00C000B2" w:rsidRDefault="00EF27EC" w:rsidP="00597457">
            <w:pPr>
              <w:pStyle w:val="TableText"/>
            </w:pPr>
            <w:r w:rsidRPr="00C000B2">
              <w:t xml:space="preserve">At least </w:t>
            </w:r>
            <w:r w:rsidRPr="00597457">
              <w:rPr>
                <w:b/>
              </w:rPr>
              <w:t>2.5 hours</w:t>
            </w:r>
            <w:r w:rsidRPr="00C000B2">
              <w:t xml:space="preserve"> of</w:t>
            </w:r>
            <w:r w:rsidR="00597457">
              <w:t xml:space="preserve"> </w:t>
            </w:r>
            <w:r w:rsidRPr="00597457">
              <w:rPr>
                <w:b/>
              </w:rPr>
              <w:t>moderate</w:t>
            </w:r>
            <w:r w:rsidRPr="00C000B2">
              <w:t xml:space="preserve"> or</w:t>
            </w:r>
            <w:r w:rsidR="00597457">
              <w:t xml:space="preserve"> </w:t>
            </w:r>
            <w:r w:rsidRPr="00597457">
              <w:rPr>
                <w:b/>
              </w:rPr>
              <w:t>1.25</w:t>
            </w:r>
            <w:r w:rsidR="00597457">
              <w:rPr>
                <w:b/>
              </w:rPr>
              <w:t> </w:t>
            </w:r>
            <w:r w:rsidRPr="00597457">
              <w:rPr>
                <w:b/>
              </w:rPr>
              <w:t>hours</w:t>
            </w:r>
            <w:r w:rsidRPr="00C000B2">
              <w:t xml:space="preserve"> of </w:t>
            </w:r>
            <w:r w:rsidRPr="00597457">
              <w:rPr>
                <w:b/>
              </w:rPr>
              <w:t>vigorous</w:t>
            </w:r>
            <w:r w:rsidRPr="00C000B2">
              <w:t xml:space="preserve"> physical activity spread throughout </w:t>
            </w:r>
            <w:r w:rsidRPr="00597457">
              <w:rPr>
                <w:b/>
              </w:rPr>
              <w:t>each week</w:t>
            </w:r>
          </w:p>
        </w:tc>
        <w:tc>
          <w:tcPr>
            <w:tcW w:w="2020" w:type="dxa"/>
            <w:tcBorders>
              <w:top w:val="nil"/>
              <w:right w:val="nil"/>
            </w:tcBorders>
          </w:tcPr>
          <w:p w14:paraId="48EF3683" w14:textId="77777777" w:rsidR="00EF27EC" w:rsidRPr="00C000B2" w:rsidRDefault="00EF27EC" w:rsidP="00597457">
            <w:pPr>
              <w:pStyle w:val="TableText"/>
            </w:pPr>
            <w:r w:rsidRPr="00C000B2">
              <w:t xml:space="preserve">At least </w:t>
            </w:r>
            <w:r w:rsidRPr="00597457">
              <w:rPr>
                <w:b/>
              </w:rPr>
              <w:t>30 minutes</w:t>
            </w:r>
            <w:r w:rsidRPr="00C000B2">
              <w:t xml:space="preserve"> of </w:t>
            </w:r>
            <w:r w:rsidRPr="00597457">
              <w:rPr>
                <w:b/>
              </w:rPr>
              <w:t>moderate physical activity</w:t>
            </w:r>
            <w:r w:rsidRPr="00C000B2">
              <w:t xml:space="preserve"> on </w:t>
            </w:r>
            <w:r w:rsidRPr="00597457">
              <w:rPr>
                <w:b/>
              </w:rPr>
              <w:t>5 days or more per week</w:t>
            </w:r>
          </w:p>
        </w:tc>
      </w:tr>
      <w:tr w:rsidR="00EF27EC" w:rsidRPr="00C000B2" w14:paraId="52523D67" w14:textId="77777777" w:rsidTr="00597457">
        <w:trPr>
          <w:cantSplit/>
        </w:trPr>
        <w:tc>
          <w:tcPr>
            <w:tcW w:w="2020" w:type="dxa"/>
            <w:tcBorders>
              <w:left w:val="nil"/>
              <w:bottom w:val="dotted" w:sz="4" w:space="0" w:color="8ED0B9"/>
            </w:tcBorders>
          </w:tcPr>
          <w:p w14:paraId="72932ED8" w14:textId="77777777" w:rsidR="00EF27EC" w:rsidRPr="00597457" w:rsidRDefault="00EF27EC" w:rsidP="00597457">
            <w:pPr>
              <w:pStyle w:val="TableText"/>
              <w:rPr>
                <w:b/>
              </w:rPr>
            </w:pPr>
            <w:r w:rsidRPr="00597457">
              <w:rPr>
                <w:b/>
              </w:rPr>
              <w:t>Move more</w:t>
            </w:r>
          </w:p>
          <w:p w14:paraId="13790384" w14:textId="77777777" w:rsidR="00597457" w:rsidRDefault="00EF27EC" w:rsidP="00597457">
            <w:pPr>
              <w:pStyle w:val="TableText"/>
            </w:pPr>
            <w:r w:rsidRPr="00C000B2">
              <w:t>Active play</w:t>
            </w:r>
          </w:p>
          <w:p w14:paraId="248899EC" w14:textId="77777777" w:rsidR="00EF27EC" w:rsidRPr="00C000B2" w:rsidRDefault="00EF27EC" w:rsidP="00597457">
            <w:pPr>
              <w:pStyle w:val="TableText"/>
            </w:pPr>
            <w:r w:rsidRPr="00C000B2">
              <w:t>Fun activities</w:t>
            </w:r>
            <w:r w:rsidR="00597457">
              <w:t xml:space="preserve"> </w:t>
            </w:r>
            <w:r w:rsidRPr="00C000B2">
              <w:t xml:space="preserve">(for toddlers and </w:t>
            </w:r>
            <w:proofErr w:type="spellStart"/>
            <w:r w:rsidRPr="00C000B2">
              <w:t>preschoolers</w:t>
            </w:r>
            <w:proofErr w:type="spellEnd"/>
            <w:r w:rsidRPr="00C000B2">
              <w:t xml:space="preserve"> at least 3</w:t>
            </w:r>
            <w:r w:rsidR="00597457">
              <w:t> </w:t>
            </w:r>
            <w:r w:rsidRPr="00C000B2">
              <w:t>hours spread</w:t>
            </w:r>
            <w:r w:rsidR="00597457">
              <w:t xml:space="preserve"> </w:t>
            </w:r>
            <w:r w:rsidRPr="00C000B2">
              <w:t>throughout each day)</w:t>
            </w:r>
          </w:p>
        </w:tc>
        <w:tc>
          <w:tcPr>
            <w:tcW w:w="2020" w:type="dxa"/>
            <w:tcBorders>
              <w:bottom w:val="dotted" w:sz="4" w:space="0" w:color="8ED0B9"/>
            </w:tcBorders>
          </w:tcPr>
          <w:p w14:paraId="2785CAB4" w14:textId="77777777" w:rsidR="00EF27EC" w:rsidRPr="00C000B2" w:rsidRDefault="00EF27EC" w:rsidP="00597457">
            <w:pPr>
              <w:pStyle w:val="TableText"/>
            </w:pPr>
            <w:r w:rsidRPr="00C000B2">
              <w:t>Vigorous physical activity and muscle and bone strengthening activities at least 3</w:t>
            </w:r>
            <w:r w:rsidR="00597457">
              <w:t> </w:t>
            </w:r>
            <w:r w:rsidRPr="00C000B2">
              <w:t>days each week</w:t>
            </w:r>
          </w:p>
        </w:tc>
        <w:tc>
          <w:tcPr>
            <w:tcW w:w="2020" w:type="dxa"/>
            <w:tcBorders>
              <w:bottom w:val="dotted" w:sz="4" w:space="0" w:color="8ED0B9"/>
            </w:tcBorders>
          </w:tcPr>
          <w:p w14:paraId="52BE184E" w14:textId="77777777" w:rsidR="00EF27EC" w:rsidRPr="00C000B2" w:rsidRDefault="00EF27EC" w:rsidP="00597457">
            <w:pPr>
              <w:pStyle w:val="TableText"/>
            </w:pPr>
            <w:r w:rsidRPr="00C000B2">
              <w:t>Muscle-strengthening activities on at least 3</w:t>
            </w:r>
            <w:r w:rsidR="00597457">
              <w:t> </w:t>
            </w:r>
            <w:r w:rsidRPr="00C000B2">
              <w:t>days each week</w:t>
            </w:r>
          </w:p>
        </w:tc>
        <w:tc>
          <w:tcPr>
            <w:tcW w:w="2020" w:type="dxa"/>
            <w:tcBorders>
              <w:bottom w:val="dotted" w:sz="4" w:space="0" w:color="8ED0B9"/>
              <w:right w:val="nil"/>
            </w:tcBorders>
          </w:tcPr>
          <w:p w14:paraId="61B75C06" w14:textId="77777777" w:rsidR="00EF27EC" w:rsidRPr="00C000B2" w:rsidRDefault="00EF27EC" w:rsidP="00597457">
            <w:pPr>
              <w:pStyle w:val="TableText"/>
            </w:pPr>
            <w:r w:rsidRPr="00C000B2">
              <w:t>3 sessions of flexibility and balance activities, and 2</w:t>
            </w:r>
            <w:r w:rsidR="00597457">
              <w:t> </w:t>
            </w:r>
            <w:r w:rsidRPr="00C000B2">
              <w:t>sessions of muscle-strengthening activities each week (can be combined)</w:t>
            </w:r>
          </w:p>
        </w:tc>
      </w:tr>
      <w:tr w:rsidR="00EF27EC" w:rsidRPr="00C000B2" w14:paraId="38D503EE" w14:textId="77777777" w:rsidTr="00597457">
        <w:trPr>
          <w:cantSplit/>
        </w:trPr>
        <w:tc>
          <w:tcPr>
            <w:tcW w:w="2020" w:type="dxa"/>
            <w:tcBorders>
              <w:left w:val="nil"/>
              <w:bottom w:val="dotted" w:sz="4" w:space="0" w:color="8ED0B9"/>
            </w:tcBorders>
          </w:tcPr>
          <w:p w14:paraId="380A6F7C" w14:textId="77777777" w:rsidR="00EF27EC" w:rsidRPr="00597457" w:rsidRDefault="00EF27EC" w:rsidP="00597457">
            <w:pPr>
              <w:pStyle w:val="TableText"/>
              <w:rPr>
                <w:b/>
              </w:rPr>
            </w:pPr>
            <w:r w:rsidRPr="00597457">
              <w:rPr>
                <w:b/>
              </w:rPr>
              <w:t>Sleep well</w:t>
            </w:r>
          </w:p>
        </w:tc>
        <w:tc>
          <w:tcPr>
            <w:tcW w:w="2020" w:type="dxa"/>
            <w:tcBorders>
              <w:bottom w:val="dotted" w:sz="4" w:space="0" w:color="8ED0B9"/>
            </w:tcBorders>
          </w:tcPr>
          <w:p w14:paraId="0363C470" w14:textId="77777777" w:rsidR="00EF27EC" w:rsidRPr="00C000B2" w:rsidRDefault="00EF27EC" w:rsidP="00597457">
            <w:pPr>
              <w:pStyle w:val="TableText"/>
            </w:pPr>
            <w:r w:rsidRPr="00C000B2">
              <w:t>No more than 2 hours a day on recreational screen time</w:t>
            </w:r>
          </w:p>
        </w:tc>
        <w:tc>
          <w:tcPr>
            <w:tcW w:w="2020" w:type="dxa"/>
            <w:tcBorders>
              <w:bottom w:val="dotted" w:sz="4" w:space="0" w:color="8ED0B9"/>
            </w:tcBorders>
          </w:tcPr>
          <w:p w14:paraId="2573AEBE" w14:textId="77777777" w:rsidR="00EF27EC" w:rsidRPr="00C000B2" w:rsidRDefault="00EF27EC" w:rsidP="00597457">
            <w:pPr>
              <w:pStyle w:val="TableText"/>
              <w:rPr>
                <w:rFonts w:ascii="Times New Roman"/>
              </w:rPr>
            </w:pPr>
          </w:p>
        </w:tc>
        <w:tc>
          <w:tcPr>
            <w:tcW w:w="2020" w:type="dxa"/>
            <w:tcBorders>
              <w:bottom w:val="dotted" w:sz="4" w:space="0" w:color="8ED0B9"/>
              <w:right w:val="nil"/>
            </w:tcBorders>
          </w:tcPr>
          <w:p w14:paraId="62036F63" w14:textId="77777777" w:rsidR="00EF27EC" w:rsidRPr="00C000B2" w:rsidRDefault="00EF27EC" w:rsidP="00597457">
            <w:pPr>
              <w:pStyle w:val="TableText"/>
              <w:rPr>
                <w:rFonts w:ascii="Times New Roman"/>
              </w:rPr>
            </w:pPr>
          </w:p>
        </w:tc>
      </w:tr>
    </w:tbl>
    <w:p w14:paraId="5F048891" w14:textId="77777777" w:rsidR="00EF27EC" w:rsidRPr="00C000B2" w:rsidRDefault="00EF27EC" w:rsidP="00597457"/>
    <w:p w14:paraId="4BF80AFA" w14:textId="77777777" w:rsidR="00EF27EC" w:rsidRPr="00C000B2" w:rsidRDefault="00EF27EC" w:rsidP="00597457">
      <w:r w:rsidRPr="00C000B2">
        <w:t>The 2019 Active New Zealand Survey found that only 7 percent of young people (aged</w:t>
      </w:r>
      <w:r w:rsidR="00597457">
        <w:br/>
      </w:r>
      <w:r w:rsidRPr="00C000B2">
        <w:t>5–17 years) were meeting the recommended 60 minutes of moderate to vigorous physical activity each day (</w:t>
      </w:r>
      <w:r w:rsidR="00597457">
        <w:fldChar w:fldCharType="begin"/>
      </w:r>
      <w:r w:rsidR="00597457">
        <w:instrText xml:space="preserve"> REF _Ref94859990 \h </w:instrText>
      </w:r>
      <w:r w:rsidR="00597457">
        <w:fldChar w:fldCharType="separate"/>
      </w:r>
      <w:r w:rsidR="006E6019">
        <w:t>Figure </w:t>
      </w:r>
      <w:r w:rsidR="006E6019">
        <w:rPr>
          <w:noProof/>
        </w:rPr>
        <w:t>25</w:t>
      </w:r>
      <w:r w:rsidR="00597457">
        <w:fldChar w:fldCharType="end"/>
      </w:r>
      <w:r w:rsidRPr="00C000B2">
        <w:t>).</w:t>
      </w:r>
      <w:r w:rsidRPr="00597457">
        <w:rPr>
          <w:vertAlign w:val="superscript"/>
        </w:rPr>
        <w:t>269</w:t>
      </w:r>
      <w:r w:rsidRPr="00C000B2">
        <w:t xml:space="preserve"> However, this increases to 58 percent of young people who get the recommended minimum of 420 hours of physical activity over one week.</w:t>
      </w:r>
    </w:p>
    <w:p w14:paraId="05C9ECAB" w14:textId="77777777" w:rsidR="00EF27EC" w:rsidRDefault="00EF27EC" w:rsidP="00597457">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F729B7" w14:paraId="1E24F0AF" w14:textId="77777777" w:rsidTr="00F729B7">
        <w:trPr>
          <w:cantSplit/>
        </w:trPr>
        <w:tc>
          <w:tcPr>
            <w:tcW w:w="426" w:type="dxa"/>
            <w:tcBorders>
              <w:right w:val="single" w:sz="48" w:space="0" w:color="FFFFFF" w:themeColor="background1"/>
            </w:tcBorders>
            <w:shd w:val="clear" w:color="auto" w:fill="F37973"/>
          </w:tcPr>
          <w:p w14:paraId="2E89196A" w14:textId="77777777" w:rsidR="00F729B7" w:rsidRDefault="00F729B7" w:rsidP="00F729B7">
            <w:pPr>
              <w:keepNext/>
            </w:pPr>
          </w:p>
        </w:tc>
        <w:tc>
          <w:tcPr>
            <w:tcW w:w="7371" w:type="dxa"/>
          </w:tcPr>
          <w:p w14:paraId="5CA0C150" w14:textId="77777777" w:rsidR="00F729B7" w:rsidRDefault="00F729B7" w:rsidP="00F729B7">
            <w:pPr>
              <w:keepNext/>
            </w:pPr>
            <w:r w:rsidRPr="00C000B2">
              <w:t>Females, high school students and children living in more deprived areas are less likely to meet physical activity recommendations.</w:t>
            </w:r>
            <w:r w:rsidRPr="00F729B7">
              <w:rPr>
                <w:vertAlign w:val="superscript"/>
              </w:rPr>
              <w:t>270</w:t>
            </w:r>
          </w:p>
        </w:tc>
      </w:tr>
    </w:tbl>
    <w:p w14:paraId="0A321C28" w14:textId="77777777" w:rsidR="00F729B7" w:rsidRPr="00C000B2" w:rsidRDefault="00F729B7" w:rsidP="00F729B7"/>
    <w:p w14:paraId="3F6ECEF2" w14:textId="77777777" w:rsidR="00EF27EC" w:rsidRPr="00F729B7" w:rsidRDefault="00F729B7" w:rsidP="00F729B7">
      <w:pPr>
        <w:pStyle w:val="Figure"/>
        <w:rPr>
          <w:b w:val="0"/>
        </w:rPr>
      </w:pPr>
      <w:bookmarkStart w:id="156" w:name="_Ref94859990"/>
      <w:bookmarkStart w:id="157" w:name="_Toc95059146"/>
      <w:r>
        <w:t>Figure </w:t>
      </w:r>
      <w:r w:rsidR="00F50B6E">
        <w:fldChar w:fldCharType="begin"/>
      </w:r>
      <w:r w:rsidR="00F50B6E">
        <w:instrText xml:space="preserve"> SEQ Figure \* ARABIC </w:instrText>
      </w:r>
      <w:r w:rsidR="00F50B6E">
        <w:fldChar w:fldCharType="separate"/>
      </w:r>
      <w:r w:rsidR="006E6019">
        <w:rPr>
          <w:noProof/>
        </w:rPr>
        <w:t>25</w:t>
      </w:r>
      <w:r w:rsidR="00F50B6E">
        <w:rPr>
          <w:noProof/>
        </w:rPr>
        <w:fldChar w:fldCharType="end"/>
      </w:r>
      <w:bookmarkEnd w:id="156"/>
      <w:r w:rsidR="00EF27EC" w:rsidRPr="00C000B2">
        <w:t>: Proportion of adults and young people who get the recommended amount of physical activity, 2019/</w:t>
      </w:r>
      <w:r w:rsidR="00EF27EC" w:rsidRPr="00F729B7">
        <w:t>20</w:t>
      </w:r>
      <w:r w:rsidR="00EF27EC" w:rsidRPr="00F729B7">
        <w:rPr>
          <w:b w:val="0"/>
          <w:vertAlign w:val="superscript"/>
        </w:rPr>
        <w:t>49,</w:t>
      </w:r>
      <w:r>
        <w:rPr>
          <w:b w:val="0"/>
          <w:vertAlign w:val="superscript"/>
        </w:rPr>
        <w:t> </w:t>
      </w:r>
      <w:r w:rsidR="00EF27EC" w:rsidRPr="00F729B7">
        <w:rPr>
          <w:b w:val="0"/>
          <w:vertAlign w:val="superscript"/>
        </w:rPr>
        <w:t>269</w:t>
      </w:r>
      <w:bookmarkEnd w:id="157"/>
    </w:p>
    <w:p w14:paraId="1905FE65" w14:textId="77777777" w:rsidR="00EF27EC" w:rsidRDefault="00597457" w:rsidP="00597457">
      <w:r>
        <w:rPr>
          <w:noProof/>
          <w:lang w:eastAsia="en-NZ"/>
        </w:rPr>
        <w:drawing>
          <wp:inline distT="0" distB="0" distL="0" distR="0" wp14:anchorId="1E8D43E8" wp14:editId="2C72EC94">
            <wp:extent cx="4301656" cy="1984097"/>
            <wp:effectExtent l="0" t="0" r="3810" b="0"/>
            <wp:docPr id="1407" name="Picture 1407" title="Figure 25: Proportion of adults and young people who get the recommended amount of physical activity,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03230" cy="1984823"/>
                    </a:xfrm>
                    <a:prstGeom prst="rect">
                      <a:avLst/>
                    </a:prstGeom>
                  </pic:spPr>
                </pic:pic>
              </a:graphicData>
            </a:graphic>
          </wp:inline>
        </w:drawing>
      </w:r>
    </w:p>
    <w:p w14:paraId="15FD326C" w14:textId="77777777" w:rsidR="00597457" w:rsidRPr="00C000B2" w:rsidRDefault="00597457" w:rsidP="00597457"/>
    <w:p w14:paraId="2D8428E2" w14:textId="77777777" w:rsidR="00EF27EC" w:rsidRPr="00F729B7" w:rsidRDefault="00F729B7" w:rsidP="00F729B7">
      <w:pPr>
        <w:pStyle w:val="Figure"/>
        <w:rPr>
          <w:b w:val="0"/>
        </w:rPr>
      </w:pPr>
      <w:bookmarkStart w:id="158" w:name="Figure_26:_Percentage_of_adults_(aged_15"/>
      <w:bookmarkStart w:id="159" w:name="Figure_27:_Proportion_of_children_who_ha"/>
      <w:bookmarkStart w:id="160" w:name="_bookmark28"/>
      <w:bookmarkStart w:id="161" w:name="_Ref94860067"/>
      <w:bookmarkStart w:id="162" w:name="_Toc95059147"/>
      <w:bookmarkEnd w:id="158"/>
      <w:bookmarkEnd w:id="159"/>
      <w:bookmarkEnd w:id="160"/>
      <w:r>
        <w:lastRenderedPageBreak/>
        <w:t>Figure </w:t>
      </w:r>
      <w:r w:rsidR="00F50B6E">
        <w:fldChar w:fldCharType="begin"/>
      </w:r>
      <w:r w:rsidR="00F50B6E">
        <w:instrText xml:space="preserve"> SEQ Figure \* ARABIC </w:instrText>
      </w:r>
      <w:r w:rsidR="00F50B6E">
        <w:fldChar w:fldCharType="separate"/>
      </w:r>
      <w:r w:rsidR="006E6019">
        <w:rPr>
          <w:noProof/>
        </w:rPr>
        <w:t>26</w:t>
      </w:r>
      <w:r w:rsidR="00F50B6E">
        <w:rPr>
          <w:noProof/>
        </w:rPr>
        <w:fldChar w:fldCharType="end"/>
      </w:r>
      <w:bookmarkEnd w:id="161"/>
      <w:r w:rsidR="00EF27EC" w:rsidRPr="00C000B2">
        <w:t>: Percentage of adults (aged 15 years and older) who get at least 2.5 hours of physical activity a week, by ethnicity, 2019/20</w:t>
      </w:r>
      <w:r w:rsidR="00EF27EC" w:rsidRPr="00F729B7">
        <w:rPr>
          <w:b w:val="0"/>
          <w:vertAlign w:val="superscript"/>
        </w:rPr>
        <w:t>49</w:t>
      </w:r>
      <w:bookmarkEnd w:id="162"/>
    </w:p>
    <w:p w14:paraId="4221432A" w14:textId="77777777" w:rsidR="00EF27EC" w:rsidRDefault="00597457" w:rsidP="00F729B7">
      <w:r>
        <w:rPr>
          <w:noProof/>
          <w:lang w:eastAsia="en-NZ"/>
        </w:rPr>
        <w:drawing>
          <wp:inline distT="0" distB="0" distL="0" distR="0" wp14:anchorId="4FEAC6AD" wp14:editId="1B6EC938">
            <wp:extent cx="3983603" cy="2778686"/>
            <wp:effectExtent l="0" t="0" r="0" b="3175"/>
            <wp:docPr id="1696" name="Picture 1696" descr="Bar graph that shows over 50% of male adults (aged 15 years and older) Māori, Pacific and European/Other ethnicities get at least 2.5 hours of physical activity a week. About 50% of European/Other female adults get at least 2.5 hours of physical activity a week and about 45% of Māori female adults get about 2.5 hours of physical activity a week. about 35% of Pacific and Asian female adults get 2.5 hours of physical activity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Picture 1696" descr="Bar graph that shows over 50% of male adults (aged 15 years and older) Māori, Pacific and European/Other ethnicities get at least 2.5 hours of physical activity a week. About 50% of European/Other female adults get at least 2.5 hours of physical activity a week and about 45% of Māori female adults get about 2.5 hours of physical activity a week. about 35% of Pacific and Asian female adults get 2.5 hours of physical activity a week."/>
                    <pic:cNvPicPr/>
                  </pic:nvPicPr>
                  <pic:blipFill>
                    <a:blip r:embed="rId56"/>
                    <a:stretch>
                      <a:fillRect/>
                    </a:stretch>
                  </pic:blipFill>
                  <pic:spPr>
                    <a:xfrm>
                      <a:off x="0" y="0"/>
                      <a:ext cx="3984886" cy="2779581"/>
                    </a:xfrm>
                    <a:prstGeom prst="rect">
                      <a:avLst/>
                    </a:prstGeom>
                  </pic:spPr>
                </pic:pic>
              </a:graphicData>
            </a:graphic>
          </wp:inline>
        </w:drawing>
      </w:r>
    </w:p>
    <w:p w14:paraId="111A6CAA" w14:textId="77777777" w:rsidR="00F729B7" w:rsidRPr="00C000B2" w:rsidRDefault="00F729B7" w:rsidP="00597457"/>
    <w:p w14:paraId="3DC77765" w14:textId="77777777" w:rsidR="00EF27EC" w:rsidRPr="00C000B2" w:rsidRDefault="00EF27EC" w:rsidP="00F729B7">
      <w:r w:rsidRPr="00C000B2">
        <w:t>Comprehensive data on sedentary behaviour is not routinely collected in Aotearoa. Studies from other high-income countries show adults are sedentary for an average of 8–10 hours per day. Occupational sitting has increased over time, likely because of changes in job content and occupation distribution.</w:t>
      </w:r>
      <w:r w:rsidRPr="00F729B7">
        <w:rPr>
          <w:vertAlign w:val="superscript"/>
        </w:rPr>
        <w:t>271</w:t>
      </w:r>
      <w:r w:rsidRPr="00C000B2">
        <w:t xml:space="preserve"> For children, researchers often use screen time as an estimate of</w:t>
      </w:r>
      <w:r w:rsidR="00F729B7">
        <w:t xml:space="preserve"> </w:t>
      </w:r>
      <w:r w:rsidRPr="00C000B2">
        <w:t>sedentary behaviour. Eight in ten children (80</w:t>
      </w:r>
      <w:r w:rsidR="00F729B7">
        <w:t> </w:t>
      </w:r>
      <w:r w:rsidRPr="00C000B2">
        <w:t>percent) in Aotearoa aged 2–14 years watched screens for two or more hours per day (excluding time spent on screens at school or doing homework), and the proportion of children who went over recommended screen time limits increased with age (</w:t>
      </w:r>
      <w:r w:rsidR="00F729B7">
        <w:fldChar w:fldCharType="begin"/>
      </w:r>
      <w:r w:rsidR="00F729B7">
        <w:instrText xml:space="preserve"> REF _Ref94860180 \h </w:instrText>
      </w:r>
      <w:r w:rsidR="00F729B7">
        <w:fldChar w:fldCharType="separate"/>
      </w:r>
      <w:r w:rsidR="006E6019">
        <w:t>Figure </w:t>
      </w:r>
      <w:r w:rsidR="006E6019">
        <w:rPr>
          <w:noProof/>
        </w:rPr>
        <w:t>27</w:t>
      </w:r>
      <w:r w:rsidR="00F729B7">
        <w:fldChar w:fldCharType="end"/>
      </w:r>
      <w:r w:rsidRPr="00C000B2">
        <w:t>).</w:t>
      </w:r>
      <w:r w:rsidRPr="00F729B7">
        <w:rPr>
          <w:vertAlign w:val="superscript"/>
        </w:rPr>
        <w:t>49</w:t>
      </w:r>
    </w:p>
    <w:p w14:paraId="283C3C07" w14:textId="77777777" w:rsidR="00EF27EC" w:rsidRDefault="00EF27EC" w:rsidP="00F729B7">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F729B7" w14:paraId="15B75D6D" w14:textId="77777777" w:rsidTr="00F729B7">
        <w:trPr>
          <w:cantSplit/>
        </w:trPr>
        <w:tc>
          <w:tcPr>
            <w:tcW w:w="426" w:type="dxa"/>
            <w:tcBorders>
              <w:right w:val="single" w:sz="48" w:space="0" w:color="FFFFFF" w:themeColor="background1"/>
            </w:tcBorders>
            <w:shd w:val="clear" w:color="auto" w:fill="F37973"/>
          </w:tcPr>
          <w:p w14:paraId="29D7A652" w14:textId="77777777" w:rsidR="00F729B7" w:rsidRDefault="00F729B7" w:rsidP="00F729B7">
            <w:pPr>
              <w:keepNext/>
            </w:pPr>
          </w:p>
        </w:tc>
        <w:tc>
          <w:tcPr>
            <w:tcW w:w="7371" w:type="dxa"/>
          </w:tcPr>
          <w:p w14:paraId="51146018" w14:textId="77777777" w:rsidR="00F729B7" w:rsidRDefault="00F729B7" w:rsidP="00F729B7">
            <w:pPr>
              <w:keepNext/>
            </w:pPr>
            <w:r w:rsidRPr="00C000B2">
              <w:t>Māori and Pacific children were 10 percent more likely to go over the recommended screen time guidelines.</w:t>
            </w:r>
            <w:r w:rsidRPr="00F729B7">
              <w:rPr>
                <w:vertAlign w:val="superscript"/>
              </w:rPr>
              <w:t>49</w:t>
            </w:r>
            <w:r w:rsidRPr="00C000B2">
              <w:t xml:space="preserve"> On average, children in Aotearoa spend 42</w:t>
            </w:r>
            <w:r>
              <w:t> </w:t>
            </w:r>
            <w:r w:rsidRPr="00C000B2">
              <w:t>hours (including 29 hours outside of school) a week on the internet, the third highest use among children in OECD countries.</w:t>
            </w:r>
            <w:r w:rsidRPr="00F729B7">
              <w:rPr>
                <w:vertAlign w:val="superscript"/>
              </w:rPr>
              <w:t>272</w:t>
            </w:r>
          </w:p>
        </w:tc>
      </w:tr>
    </w:tbl>
    <w:p w14:paraId="3687D6DF" w14:textId="77777777" w:rsidR="00F729B7" w:rsidRPr="00C000B2" w:rsidRDefault="00F729B7" w:rsidP="00F729B7"/>
    <w:p w14:paraId="144AEC4D" w14:textId="77777777" w:rsidR="00EF27EC" w:rsidRPr="00F729B7" w:rsidRDefault="00F729B7" w:rsidP="00F729B7">
      <w:pPr>
        <w:pStyle w:val="Figure"/>
        <w:rPr>
          <w:b w:val="0"/>
        </w:rPr>
      </w:pPr>
      <w:bookmarkStart w:id="163" w:name="_Ref94860180"/>
      <w:bookmarkStart w:id="164" w:name="_Toc95059148"/>
      <w:r>
        <w:t>Figure </w:t>
      </w:r>
      <w:r w:rsidR="00F50B6E">
        <w:fldChar w:fldCharType="begin"/>
      </w:r>
      <w:r w:rsidR="00F50B6E">
        <w:instrText xml:space="preserve"> SEQ Figure \* ARABIC </w:instrText>
      </w:r>
      <w:r w:rsidR="00F50B6E">
        <w:fldChar w:fldCharType="separate"/>
      </w:r>
      <w:r w:rsidR="006E6019">
        <w:rPr>
          <w:noProof/>
        </w:rPr>
        <w:t>27</w:t>
      </w:r>
      <w:r w:rsidR="00F50B6E">
        <w:rPr>
          <w:noProof/>
        </w:rPr>
        <w:fldChar w:fldCharType="end"/>
      </w:r>
      <w:bookmarkEnd w:id="163"/>
      <w:r w:rsidR="00EF27EC" w:rsidRPr="00C000B2">
        <w:t>: Proportion of children who have two hours or more of screen time a day, 2019/20</w:t>
      </w:r>
      <w:r w:rsidR="00EF27EC" w:rsidRPr="00F729B7">
        <w:rPr>
          <w:b w:val="0"/>
          <w:vertAlign w:val="superscript"/>
        </w:rPr>
        <w:t>49</w:t>
      </w:r>
      <w:bookmarkEnd w:id="164"/>
    </w:p>
    <w:p w14:paraId="1957FDCC" w14:textId="77777777" w:rsidR="00F729B7" w:rsidRDefault="00597457" w:rsidP="00F729B7">
      <w:r>
        <w:rPr>
          <w:noProof/>
          <w:lang w:eastAsia="en-NZ"/>
        </w:rPr>
        <w:drawing>
          <wp:inline distT="0" distB="0" distL="0" distR="0" wp14:anchorId="087D8618" wp14:editId="6A2A4AD2">
            <wp:extent cx="3601941" cy="1491628"/>
            <wp:effectExtent l="0" t="0" r="0" b="0"/>
            <wp:docPr id="1697" name="Picture 1697" descr="6 in 10 2-4 year olds, 8 in 10 5-9 year olds and 9 in 10 10-14 year olds get more than two hours of screen tim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Picture 1697" descr="6 in 10 2-4 year olds, 8 in 10 5-9 year olds and 9 in 10 10-14 year olds get more than two hours of screen time each day."/>
                    <pic:cNvPicPr/>
                  </pic:nvPicPr>
                  <pic:blipFill>
                    <a:blip r:embed="rId57"/>
                    <a:stretch>
                      <a:fillRect/>
                    </a:stretch>
                  </pic:blipFill>
                  <pic:spPr>
                    <a:xfrm>
                      <a:off x="0" y="0"/>
                      <a:ext cx="3602752" cy="1491964"/>
                    </a:xfrm>
                    <a:prstGeom prst="rect">
                      <a:avLst/>
                    </a:prstGeom>
                  </pic:spPr>
                </pic:pic>
              </a:graphicData>
            </a:graphic>
          </wp:inline>
        </w:drawing>
      </w:r>
    </w:p>
    <w:p w14:paraId="5FB03AF2" w14:textId="77777777" w:rsidR="00F729B7" w:rsidRPr="00F729B7" w:rsidRDefault="00F729B7" w:rsidP="00597457"/>
    <w:p w14:paraId="06D24CD4" w14:textId="77777777" w:rsidR="00EF27EC" w:rsidRPr="00C000B2" w:rsidRDefault="00EF27EC" w:rsidP="00F729B7">
      <w:pPr>
        <w:pStyle w:val="Heading2"/>
      </w:pPr>
      <w:bookmarkStart w:id="165" w:name="How_can_we_prevent_cancers_related_to_in"/>
      <w:bookmarkStart w:id="166" w:name="_bookmark29"/>
      <w:bookmarkStart w:id="167" w:name="_Toc95742663"/>
      <w:bookmarkEnd w:id="165"/>
      <w:bookmarkEnd w:id="166"/>
      <w:r w:rsidRPr="00C000B2">
        <w:lastRenderedPageBreak/>
        <w:t>How can we prevent cancers related to insufficient physical activity?</w:t>
      </w:r>
      <w:bookmarkEnd w:id="167"/>
    </w:p>
    <w:p w14:paraId="4CDA1E9B" w14:textId="77777777" w:rsidR="00EF27EC" w:rsidRPr="00521114" w:rsidRDefault="00EF27EC" w:rsidP="00F729B7">
      <w:pPr>
        <w:rPr>
          <w:spacing w:val="-2"/>
        </w:rPr>
      </w:pPr>
      <w:r w:rsidRPr="00521114">
        <w:rPr>
          <w:spacing w:val="-2"/>
        </w:rPr>
        <w:t>The following interventions summarised below (and expanded on under the focus areas that follow) are those considered most likely to increase population levels of physical activity and ultimately prevent cancers due to insufficient physical activity and excessive sedentary behaviours. These interventions are in line with evidence-based recommendations from the World Health Organization</w:t>
      </w:r>
      <w:r w:rsidRPr="00521114">
        <w:rPr>
          <w:spacing w:val="-2"/>
          <w:vertAlign w:val="superscript"/>
        </w:rPr>
        <w:t>273</w:t>
      </w:r>
      <w:r w:rsidRPr="00521114">
        <w:rPr>
          <w:spacing w:val="-2"/>
        </w:rPr>
        <w:t xml:space="preserve"> and the International Society for Physical Activity and Health,</w:t>
      </w:r>
      <w:r w:rsidRPr="00521114">
        <w:rPr>
          <w:spacing w:val="-2"/>
          <w:vertAlign w:val="superscript"/>
        </w:rPr>
        <w:t>274</w:t>
      </w:r>
      <w:r w:rsidRPr="00521114">
        <w:rPr>
          <w:spacing w:val="-2"/>
        </w:rPr>
        <w:t xml:space="preserve"> as well as from other respected national and international organisations. The interventions below are consistent with several actions in the draft national physical activity and play action plan that is currently under development.</w:t>
      </w:r>
    </w:p>
    <w:p w14:paraId="66D505FC" w14:textId="77777777" w:rsidR="00EF27EC" w:rsidRDefault="00EF27EC" w:rsidP="00521114">
      <w:pPr>
        <w:spacing w:after="240"/>
      </w:pP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F0"/>
        <w:tblLayout w:type="fixed"/>
        <w:tblCellMar>
          <w:left w:w="57" w:type="dxa"/>
          <w:right w:w="57" w:type="dxa"/>
        </w:tblCellMar>
        <w:tblLook w:val="04A0" w:firstRow="1" w:lastRow="0" w:firstColumn="1" w:lastColumn="0" w:noHBand="0" w:noVBand="1"/>
      </w:tblPr>
      <w:tblGrid>
        <w:gridCol w:w="8295"/>
      </w:tblGrid>
      <w:tr w:rsidR="00521114" w:rsidRPr="004805C8" w14:paraId="3F8A5D6F" w14:textId="77777777" w:rsidTr="00A15BFC">
        <w:trPr>
          <w:cantSplit/>
        </w:trPr>
        <w:tc>
          <w:tcPr>
            <w:tcW w:w="8295" w:type="dxa"/>
            <w:tcBorders>
              <w:bottom w:val="single" w:sz="12" w:space="0" w:color="22B893"/>
            </w:tcBorders>
            <w:shd w:val="clear" w:color="auto" w:fill="EAF5F0"/>
          </w:tcPr>
          <w:p w14:paraId="1553810C" w14:textId="77777777" w:rsidR="00521114" w:rsidRPr="004805C8" w:rsidRDefault="00521114" w:rsidP="00521114">
            <w:pPr>
              <w:pStyle w:val="TableText"/>
              <w:keepNext/>
              <w:spacing w:before="120"/>
              <w:rPr>
                <w:b/>
                <w:sz w:val="20"/>
              </w:rPr>
            </w:pPr>
            <w:r w:rsidRPr="004805C8">
              <w:rPr>
                <w:b/>
                <w:sz w:val="20"/>
              </w:rPr>
              <w:t xml:space="preserve">Summary of options to prevent cancers related to </w:t>
            </w:r>
            <w:r>
              <w:rPr>
                <w:b/>
                <w:sz w:val="20"/>
              </w:rPr>
              <w:t>insufficient physical activity</w:t>
            </w:r>
          </w:p>
        </w:tc>
      </w:tr>
      <w:tr w:rsidR="00521114" w14:paraId="149E4F8E" w14:textId="77777777" w:rsidTr="00A15BFC">
        <w:trPr>
          <w:cantSplit/>
        </w:trPr>
        <w:tc>
          <w:tcPr>
            <w:tcW w:w="8295" w:type="dxa"/>
            <w:tcBorders>
              <w:top w:val="single" w:sz="12" w:space="0" w:color="22B893"/>
            </w:tcBorders>
            <w:shd w:val="clear" w:color="auto" w:fill="EAF5F0"/>
          </w:tcPr>
          <w:p w14:paraId="3A2F4E61" w14:textId="77777777" w:rsidR="00521114" w:rsidRPr="00C000B2" w:rsidRDefault="00521114" w:rsidP="00521114">
            <w:pPr>
              <w:pStyle w:val="TableBullet"/>
              <w:spacing w:before="120"/>
            </w:pPr>
            <w:r w:rsidRPr="00C000B2">
              <w:t>Create built environments that support people to be physically active in their daily lives.</w:t>
            </w:r>
          </w:p>
          <w:p w14:paraId="43DEBE06" w14:textId="77777777" w:rsidR="00521114" w:rsidRPr="00C000B2" w:rsidRDefault="00521114" w:rsidP="00521114">
            <w:pPr>
              <w:pStyle w:val="TableDash"/>
            </w:pPr>
            <w:r w:rsidRPr="00C000B2">
              <w:t>Integrate urban design and transport policies to support active transport, and incidental and recreational physical activity.</w:t>
            </w:r>
          </w:p>
          <w:p w14:paraId="532CBD67" w14:textId="77777777" w:rsidR="00521114" w:rsidRPr="00C000B2" w:rsidRDefault="00521114" w:rsidP="00521114">
            <w:pPr>
              <w:pStyle w:val="TableBullet"/>
            </w:pPr>
            <w:r w:rsidRPr="00C000B2">
              <w:t>Implement programmes across multiple settings to increase physical activity and reduce sedentary time.</w:t>
            </w:r>
          </w:p>
          <w:p w14:paraId="766AEE5C" w14:textId="77777777" w:rsidR="00521114" w:rsidRPr="00C000B2" w:rsidRDefault="00521114" w:rsidP="00521114">
            <w:pPr>
              <w:pStyle w:val="TableDash"/>
            </w:pPr>
            <w:r w:rsidRPr="00C000B2">
              <w:t>Implement workplace-based programmes.</w:t>
            </w:r>
          </w:p>
          <w:p w14:paraId="7F47265F" w14:textId="77777777" w:rsidR="00521114" w:rsidRPr="00C000B2" w:rsidRDefault="00521114" w:rsidP="00521114">
            <w:pPr>
              <w:pStyle w:val="TableDash"/>
            </w:pPr>
            <w:r w:rsidRPr="00C000B2">
              <w:t>Implement school-based programmes.</w:t>
            </w:r>
          </w:p>
          <w:p w14:paraId="6797FA87" w14:textId="77777777" w:rsidR="00521114" w:rsidRPr="00C000B2" w:rsidRDefault="00521114" w:rsidP="00521114">
            <w:pPr>
              <w:pStyle w:val="TableDash"/>
            </w:pPr>
            <w:r w:rsidRPr="00C000B2">
              <w:t>Implement community-based programmes.</w:t>
            </w:r>
          </w:p>
          <w:p w14:paraId="4C72FC29" w14:textId="77777777" w:rsidR="00521114" w:rsidRPr="00C000B2" w:rsidRDefault="00521114" w:rsidP="00521114">
            <w:pPr>
              <w:pStyle w:val="TableBullet"/>
            </w:pPr>
            <w:r w:rsidRPr="00C000B2">
              <w:t>Increase physical activity levels through participation in active recreation and sport.</w:t>
            </w:r>
          </w:p>
          <w:p w14:paraId="7240990B" w14:textId="77777777" w:rsidR="00521114" w:rsidRPr="00C000B2" w:rsidRDefault="00521114" w:rsidP="00521114">
            <w:pPr>
              <w:pStyle w:val="TableDash"/>
            </w:pPr>
            <w:r w:rsidRPr="00C000B2">
              <w:t>Increase participation in active recreational activities, particularly for those groups not currently engaged.</w:t>
            </w:r>
          </w:p>
          <w:p w14:paraId="333C2745" w14:textId="77777777" w:rsidR="00521114" w:rsidRPr="00C000B2" w:rsidRDefault="00521114" w:rsidP="00521114">
            <w:pPr>
              <w:pStyle w:val="TableDash"/>
            </w:pPr>
            <w:r w:rsidRPr="00C000B2">
              <w:t>Increase participation in organised sport groups and clubs, particularly for those groups not currently engaged.</w:t>
            </w:r>
          </w:p>
          <w:p w14:paraId="25BB47AD" w14:textId="77777777" w:rsidR="00521114" w:rsidRPr="00C000B2" w:rsidRDefault="00521114" w:rsidP="00521114">
            <w:pPr>
              <w:pStyle w:val="TableBullet"/>
            </w:pPr>
            <w:r w:rsidRPr="00C000B2">
              <w:t>Support the health sector to deliver interventions to increase physical activity levels.</w:t>
            </w:r>
          </w:p>
          <w:p w14:paraId="1CB987E0" w14:textId="77777777" w:rsidR="00521114" w:rsidRDefault="00521114" w:rsidP="00521114">
            <w:pPr>
              <w:pStyle w:val="TableDash"/>
            </w:pPr>
            <w:r w:rsidRPr="00C000B2">
              <w:t>Increase access to physical activity counselling and links to community-based supports.</w:t>
            </w:r>
          </w:p>
        </w:tc>
      </w:tr>
    </w:tbl>
    <w:p w14:paraId="185EB063" w14:textId="77777777" w:rsidR="00EF27EC" w:rsidRDefault="00EF27EC" w:rsidP="00521114">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1818F3EB" w14:textId="77777777" w:rsidTr="00351028">
        <w:trPr>
          <w:cantSplit/>
        </w:trPr>
        <w:tc>
          <w:tcPr>
            <w:tcW w:w="426" w:type="dxa"/>
            <w:tcBorders>
              <w:right w:val="single" w:sz="48" w:space="0" w:color="FFFFFF" w:themeColor="background1"/>
            </w:tcBorders>
            <w:shd w:val="clear" w:color="auto" w:fill="22B893"/>
          </w:tcPr>
          <w:p w14:paraId="03A1897B" w14:textId="77777777" w:rsidR="00990345" w:rsidRDefault="00990345" w:rsidP="00351028"/>
        </w:tc>
        <w:tc>
          <w:tcPr>
            <w:tcW w:w="7371" w:type="dxa"/>
            <w:gridSpan w:val="2"/>
          </w:tcPr>
          <w:p w14:paraId="6723DA0B" w14:textId="77777777" w:rsidR="00990345" w:rsidRPr="00F729B7" w:rsidRDefault="00990345" w:rsidP="00351028">
            <w:pPr>
              <w:pStyle w:val="TableText"/>
              <w:rPr>
                <w:sz w:val="22"/>
                <w:szCs w:val="22"/>
              </w:rPr>
            </w:pPr>
            <w:r w:rsidRPr="0029210A">
              <w:rPr>
                <w:b/>
                <w:sz w:val="22"/>
                <w:szCs w:val="22"/>
              </w:rPr>
              <w:t xml:space="preserve">Focus area: </w:t>
            </w:r>
            <w:r w:rsidR="00F729B7" w:rsidRPr="00F729B7">
              <w:rPr>
                <w:sz w:val="22"/>
                <w:szCs w:val="22"/>
              </w:rPr>
              <w:t>Create built environments that support people to be physically active in their daily lives</w:t>
            </w:r>
          </w:p>
          <w:p w14:paraId="6570D832" w14:textId="77777777" w:rsidR="00F729B7" w:rsidRPr="00F729B7" w:rsidRDefault="00F729B7" w:rsidP="00F729B7">
            <w:pPr>
              <w:pStyle w:val="TableText"/>
              <w:rPr>
                <w:sz w:val="20"/>
              </w:rPr>
            </w:pPr>
            <w:r w:rsidRPr="00F729B7">
              <w:rPr>
                <w:sz w:val="20"/>
              </w:rPr>
              <w:t>What do we know about the impact of built environments on physical activity levels?</w:t>
            </w:r>
          </w:p>
          <w:p w14:paraId="3522EE33" w14:textId="77777777" w:rsidR="00990345" w:rsidRDefault="00F729B7" w:rsidP="00F729B7">
            <w:pPr>
              <w:pStyle w:val="TableText"/>
            </w:pPr>
            <w:r w:rsidRPr="00C000B2">
              <w:t>Characteristics of our built environments, such as street layout, land use, the location of recreation facilities, parks and public buildings and the transport system, can either encourage or discourage physical activity.</w:t>
            </w:r>
            <w:r w:rsidRPr="00F729B7">
              <w:rPr>
                <w:vertAlign w:val="superscript"/>
              </w:rPr>
              <w:t>219, 273, 275–279</w:t>
            </w:r>
            <w:r w:rsidRPr="00C000B2">
              <w:t xml:space="preserve"> For example, poor street connectivity, lack of footpaths, poor access to shops and concerns about crime are associated with low levels of physical activity.</w:t>
            </w:r>
            <w:r w:rsidRPr="00F729B7">
              <w:rPr>
                <w:vertAlign w:val="superscript"/>
              </w:rPr>
              <w:t>280</w:t>
            </w:r>
          </w:p>
        </w:tc>
      </w:tr>
      <w:tr w:rsidR="00990345" w14:paraId="3A00953A" w14:textId="77777777" w:rsidTr="00351028">
        <w:trPr>
          <w:cantSplit/>
        </w:trPr>
        <w:tc>
          <w:tcPr>
            <w:tcW w:w="426" w:type="dxa"/>
            <w:tcBorders>
              <w:right w:val="single" w:sz="48" w:space="0" w:color="FFFFFF" w:themeColor="background1"/>
            </w:tcBorders>
            <w:shd w:val="clear" w:color="auto" w:fill="22B893"/>
          </w:tcPr>
          <w:p w14:paraId="10524C99" w14:textId="77777777" w:rsidR="00990345" w:rsidRDefault="00990345" w:rsidP="00351028"/>
        </w:tc>
        <w:tc>
          <w:tcPr>
            <w:tcW w:w="304" w:type="dxa"/>
            <w:shd w:val="clear" w:color="auto" w:fill="F37973"/>
          </w:tcPr>
          <w:p w14:paraId="40515556" w14:textId="77777777" w:rsidR="00990345" w:rsidRPr="0029210A" w:rsidRDefault="00990345" w:rsidP="00351028">
            <w:pPr>
              <w:pStyle w:val="TableText"/>
            </w:pPr>
          </w:p>
        </w:tc>
        <w:tc>
          <w:tcPr>
            <w:tcW w:w="7067" w:type="dxa"/>
          </w:tcPr>
          <w:p w14:paraId="0B439039" w14:textId="77777777" w:rsidR="00990345" w:rsidRPr="0029210A" w:rsidRDefault="00F729B7" w:rsidP="00351028">
            <w:pPr>
              <w:pStyle w:val="TableText"/>
              <w:ind w:left="113"/>
            </w:pPr>
            <w:r w:rsidRPr="00C000B2">
              <w:t>There are significant differences in access to active and public transport by gender and ethnicity. Māori have poorer access to active or public transport than other ethnic groups.</w:t>
            </w:r>
            <w:r w:rsidRPr="00F729B7">
              <w:rPr>
                <w:vertAlign w:val="superscript"/>
              </w:rPr>
              <w:t>32</w:t>
            </w:r>
            <w:r w:rsidRPr="00C000B2">
              <w:t xml:space="preserve"> Between 2002 and 2014, 75 percent of cyclists were men, and men were twice as likely as women to be regular cyclists.</w:t>
            </w:r>
            <w:r w:rsidRPr="00F729B7">
              <w:rPr>
                <w:vertAlign w:val="superscript"/>
              </w:rPr>
              <w:t>281</w:t>
            </w:r>
          </w:p>
        </w:tc>
      </w:tr>
    </w:tbl>
    <w:p w14:paraId="4369A697" w14:textId="77777777" w:rsidR="00521114" w:rsidRPr="00C000B2" w:rsidRDefault="00521114" w:rsidP="00521114"/>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02072D95" w14:textId="77777777" w:rsidTr="00AB11A2">
        <w:trPr>
          <w:cantSplit/>
        </w:trPr>
        <w:tc>
          <w:tcPr>
            <w:tcW w:w="8080" w:type="dxa"/>
            <w:gridSpan w:val="2"/>
            <w:tcBorders>
              <w:bottom w:val="nil"/>
            </w:tcBorders>
            <w:shd w:val="clear" w:color="auto" w:fill="D7EDE4"/>
          </w:tcPr>
          <w:p w14:paraId="4728C480" w14:textId="77777777" w:rsidR="0029210A" w:rsidRPr="00AB3864" w:rsidRDefault="0029210A" w:rsidP="00563EDA">
            <w:pPr>
              <w:pStyle w:val="TableText"/>
              <w:spacing w:before="120"/>
              <w:rPr>
                <w:b/>
                <w:sz w:val="22"/>
                <w:szCs w:val="22"/>
              </w:rPr>
            </w:pPr>
            <w:r w:rsidRPr="00AB3864">
              <w:rPr>
                <w:b/>
                <w:sz w:val="22"/>
                <w:szCs w:val="22"/>
              </w:rPr>
              <w:lastRenderedPageBreak/>
              <w:t xml:space="preserve">Action: </w:t>
            </w:r>
            <w:r w:rsidR="00563EDA" w:rsidRPr="00563EDA">
              <w:rPr>
                <w:sz w:val="22"/>
                <w:szCs w:val="22"/>
              </w:rPr>
              <w:t>Integrate urban design and transport policies to support active transport, and incidental and recreational physical activity</w:t>
            </w:r>
          </w:p>
        </w:tc>
      </w:tr>
      <w:tr w:rsidR="0029210A" w14:paraId="045DF37E" w14:textId="77777777" w:rsidTr="00563EDA">
        <w:trPr>
          <w:cantSplit/>
        </w:trPr>
        <w:tc>
          <w:tcPr>
            <w:tcW w:w="4040" w:type="dxa"/>
            <w:tcBorders>
              <w:top w:val="nil"/>
              <w:bottom w:val="single" w:sz="8" w:space="0" w:color="22B893"/>
              <w:right w:val="dashed" w:sz="4" w:space="0" w:color="22B893"/>
            </w:tcBorders>
          </w:tcPr>
          <w:p w14:paraId="686C60C1" w14:textId="77777777" w:rsidR="0029210A" w:rsidRPr="00AB3864" w:rsidRDefault="0029210A" w:rsidP="00AB11A2">
            <w:pPr>
              <w:pStyle w:val="TableText"/>
              <w:ind w:right="142"/>
              <w:rPr>
                <w:sz w:val="20"/>
              </w:rPr>
            </w:pPr>
            <w:r w:rsidRPr="00AB3864">
              <w:rPr>
                <w:sz w:val="20"/>
              </w:rPr>
              <w:t>What is the evidence?</w:t>
            </w:r>
          </w:p>
          <w:p w14:paraId="20C8ABBA" w14:textId="77777777" w:rsidR="00563EDA" w:rsidRPr="00C000B2" w:rsidRDefault="00563EDA" w:rsidP="00563EDA">
            <w:pPr>
              <w:pStyle w:val="TableText"/>
              <w:ind w:right="113"/>
            </w:pPr>
            <w:r w:rsidRPr="00C000B2">
              <w:t xml:space="preserve">Improvements to the built environment of towns and cities (such as improved street connectivity, increased residential density, facilities for pedestrians and cyclists, mixed land use, access to public transport and access to parks, </w:t>
            </w:r>
            <w:proofErr w:type="gramStart"/>
            <w:r w:rsidRPr="00C000B2">
              <w:t>playgrounds</w:t>
            </w:r>
            <w:proofErr w:type="gramEnd"/>
            <w:r w:rsidRPr="00C000B2">
              <w:t xml:space="preserve"> and green spaces) have positive effects on active transport use and overall physical activity levels in children and adults.</w:t>
            </w:r>
            <w:r w:rsidRPr="00563EDA">
              <w:rPr>
                <w:vertAlign w:val="superscript"/>
              </w:rPr>
              <w:t>219, 277</w:t>
            </w:r>
            <w:r w:rsidRPr="00563EDA">
              <w:rPr>
                <w:vertAlign w:val="superscript"/>
              </w:rPr>
              <w:noBreakHyphen/>
              <w:t>279, 282</w:t>
            </w:r>
          </w:p>
          <w:p w14:paraId="4D70C05B" w14:textId="77777777" w:rsidR="00563EDA" w:rsidRPr="00C000B2" w:rsidRDefault="00563EDA" w:rsidP="00563EDA">
            <w:pPr>
              <w:pStyle w:val="TableText"/>
              <w:ind w:right="113"/>
            </w:pPr>
            <w:r w:rsidRPr="00C000B2">
              <w:t>Urban design that supports more active travel is linked to increased physical activity</w:t>
            </w:r>
            <w:r w:rsidRPr="00563EDA">
              <w:rPr>
                <w:vertAlign w:val="superscript"/>
              </w:rPr>
              <w:t>283–286</w:t>
            </w:r>
            <w:r w:rsidRPr="00C000B2">
              <w:t xml:space="preserve"> and less sedentary time.</w:t>
            </w:r>
            <w:r w:rsidRPr="00563EDA">
              <w:rPr>
                <w:vertAlign w:val="superscript"/>
              </w:rPr>
              <w:t>278</w:t>
            </w:r>
            <w:r w:rsidRPr="00C000B2">
              <w:t xml:space="preserve"> Active transport</w:t>
            </w:r>
            <w:r>
              <w:t xml:space="preserve"> </w:t>
            </w:r>
            <w:r w:rsidRPr="00C000B2">
              <w:t>is easier to integrate into daily life than organised sports or recreational physical activity.</w:t>
            </w:r>
            <w:r w:rsidRPr="00563EDA">
              <w:rPr>
                <w:vertAlign w:val="superscript"/>
              </w:rPr>
              <w:t>287, 288</w:t>
            </w:r>
            <w:r w:rsidRPr="00C000B2">
              <w:t xml:space="preserve"> Children who walk or cycle to school, and adults who cycle for travel</w:t>
            </w:r>
            <w:r>
              <w:t xml:space="preserve"> </w:t>
            </w:r>
            <w:r w:rsidRPr="00C000B2">
              <w:t>purposes (</w:t>
            </w:r>
            <w:proofErr w:type="spellStart"/>
            <w:r w:rsidRPr="00C000B2">
              <w:t>eg</w:t>
            </w:r>
            <w:proofErr w:type="spellEnd"/>
            <w:r w:rsidRPr="00C000B2">
              <w:t>, to get to work rather than for recreation) are more likely to meet physical activity guidelines.</w:t>
            </w:r>
            <w:r w:rsidRPr="00563EDA">
              <w:rPr>
                <w:vertAlign w:val="superscript"/>
              </w:rPr>
              <w:t>289, 290</w:t>
            </w:r>
          </w:p>
          <w:p w14:paraId="79904F54" w14:textId="77777777" w:rsidR="00563EDA" w:rsidRPr="00C000B2" w:rsidRDefault="00563EDA" w:rsidP="00563EDA">
            <w:pPr>
              <w:pStyle w:val="TableText"/>
              <w:ind w:right="113"/>
            </w:pPr>
            <w:r w:rsidRPr="00C000B2">
              <w:t xml:space="preserve">Positive perceptions of neighbourhood desirability (such as for its aesthetics, </w:t>
            </w:r>
            <w:proofErr w:type="gramStart"/>
            <w:r w:rsidRPr="00C000B2">
              <w:t>traffic</w:t>
            </w:r>
            <w:proofErr w:type="gramEnd"/>
            <w:r w:rsidRPr="00C000B2">
              <w:t xml:space="preserve"> and safety) and quality of recreational destinations (such as green space and parks) are associated with increased recreational walking.</w:t>
            </w:r>
            <w:r w:rsidRPr="00563EDA">
              <w:rPr>
                <w:vertAlign w:val="superscript"/>
              </w:rPr>
              <w:t>277–279</w:t>
            </w:r>
          </w:p>
          <w:p w14:paraId="3040356A" w14:textId="77777777" w:rsidR="0029210A" w:rsidRDefault="00563EDA" w:rsidP="00563EDA">
            <w:pPr>
              <w:pStyle w:val="TableText"/>
              <w:ind w:right="113"/>
            </w:pPr>
            <w:r w:rsidRPr="00C000B2">
              <w:t>Low-traffic neighbourhoods (LTNs), which have protected cycle lanes and bus priority lanes, are increasing in cities worldwide. In London, LTNS are associated with an increase in active travel and reduction in car ownership.</w:t>
            </w:r>
            <w:r w:rsidRPr="00563EDA">
              <w:rPr>
                <w:vertAlign w:val="superscript"/>
              </w:rPr>
              <w:t>291</w:t>
            </w:r>
          </w:p>
        </w:tc>
        <w:tc>
          <w:tcPr>
            <w:tcW w:w="4040" w:type="dxa"/>
            <w:tcBorders>
              <w:top w:val="nil"/>
              <w:left w:val="dashed" w:sz="4" w:space="0" w:color="22B893"/>
              <w:bottom w:val="single" w:sz="8" w:space="0" w:color="22B893"/>
            </w:tcBorders>
          </w:tcPr>
          <w:p w14:paraId="2A4DEC91" w14:textId="77777777" w:rsidR="0029210A" w:rsidRPr="00AB3864" w:rsidRDefault="0029210A" w:rsidP="00AB11A2">
            <w:pPr>
              <w:pStyle w:val="TableText"/>
              <w:ind w:left="113"/>
              <w:rPr>
                <w:sz w:val="20"/>
              </w:rPr>
            </w:pPr>
            <w:r w:rsidRPr="00AB3864">
              <w:rPr>
                <w:sz w:val="20"/>
              </w:rPr>
              <w:t>What is Aotearoa doing currently?</w:t>
            </w:r>
          </w:p>
          <w:p w14:paraId="0A792DFA" w14:textId="77777777" w:rsidR="00563EDA" w:rsidRPr="00C000B2" w:rsidRDefault="00563EDA" w:rsidP="00563EDA">
            <w:pPr>
              <w:pStyle w:val="TableText"/>
              <w:ind w:left="113"/>
            </w:pPr>
            <w:r w:rsidRPr="00C000B2">
              <w:t>Local and regional councils can create environments that support or inhibit physical activity through their decision-making about walking and cycling infrastructure, urban design, neighbourhood planning and access to green spaces. They also provide facilities for organised sport and active recreation.</w:t>
            </w:r>
            <w:r w:rsidRPr="00563EDA">
              <w:rPr>
                <w:vertAlign w:val="superscript"/>
              </w:rPr>
              <w:t>276</w:t>
            </w:r>
          </w:p>
          <w:p w14:paraId="65E5853E" w14:textId="77777777" w:rsidR="00563EDA" w:rsidRPr="00C000B2" w:rsidRDefault="00563EDA" w:rsidP="00563EDA">
            <w:pPr>
              <w:pStyle w:val="TableText"/>
              <w:ind w:left="113"/>
            </w:pPr>
            <w:r w:rsidRPr="00C000B2">
              <w:t>Aotearoa has no legislative requirement for local or regional councils to assess the impacts of planning decisions on physical activity opportunities.</w:t>
            </w:r>
          </w:p>
          <w:p w14:paraId="313588EC" w14:textId="77777777" w:rsidR="00563EDA" w:rsidRPr="00C000B2" w:rsidRDefault="00563EDA" w:rsidP="00563EDA">
            <w:pPr>
              <w:pStyle w:val="TableText"/>
              <w:ind w:left="113"/>
            </w:pPr>
            <w:r w:rsidRPr="00C000B2">
              <w:t>The 2021 Government Policy Statement on Land Transport identifies providing better travel options (including public and active transport options) as a strategic priority.</w:t>
            </w:r>
            <w:r w:rsidRPr="00563EDA">
              <w:rPr>
                <w:vertAlign w:val="superscript"/>
              </w:rPr>
              <w:t>292</w:t>
            </w:r>
          </w:p>
          <w:p w14:paraId="6DD280B3" w14:textId="77777777" w:rsidR="00563EDA" w:rsidRPr="00C000B2" w:rsidRDefault="00563EDA" w:rsidP="00563EDA">
            <w:pPr>
              <w:pStyle w:val="TableText"/>
              <w:ind w:left="113"/>
            </w:pPr>
            <w:r w:rsidRPr="00C000B2">
              <w:t>In 2019, Waka Kotahi New Zealand Transport Agency published its plan for increasing the proportion of travel using public and active transport.</w:t>
            </w:r>
            <w:r w:rsidRPr="00563EDA">
              <w:rPr>
                <w:vertAlign w:val="superscript"/>
              </w:rPr>
              <w:t>293</w:t>
            </w:r>
            <w:r w:rsidRPr="00C000B2">
              <w:t xml:space="preserve"> It has three focus areas: shaping urban form; making shared and active travel modes more attractive; and influencing travel demand and transport choices. To date, Waka Kotahi has worked with local and regional councils in six regions to develop plans</w:t>
            </w:r>
            <w:r>
              <w:t xml:space="preserve"> </w:t>
            </w:r>
            <w:r w:rsidRPr="00C000B2">
              <w:t>to increase the share of travel by walking, cycling and public transport.</w:t>
            </w:r>
            <w:r w:rsidRPr="00563EDA">
              <w:rPr>
                <w:vertAlign w:val="superscript"/>
              </w:rPr>
              <w:t>294</w:t>
            </w:r>
          </w:p>
          <w:p w14:paraId="3FA0515B" w14:textId="77777777" w:rsidR="0029210A" w:rsidRDefault="00563EDA" w:rsidP="00563EDA">
            <w:pPr>
              <w:pStyle w:val="TableText"/>
              <w:ind w:left="113"/>
            </w:pPr>
            <w:r w:rsidRPr="00C000B2">
              <w:t xml:space="preserve">Healthy Auckland Together is a collaboration between multiple agencies (health agencies, local government, </w:t>
            </w:r>
            <w:proofErr w:type="gramStart"/>
            <w:r w:rsidRPr="00C000B2">
              <w:t>iwi</w:t>
            </w:r>
            <w:proofErr w:type="gramEnd"/>
            <w:r w:rsidRPr="00C000B2">
              <w:t xml:space="preserve"> and non-governmental organisations).</w:t>
            </w:r>
            <w:r w:rsidRPr="00563EDA">
              <w:rPr>
                <w:vertAlign w:val="superscript"/>
              </w:rPr>
              <w:t>247</w:t>
            </w:r>
            <w:r w:rsidRPr="00C000B2">
              <w:t xml:space="preserve"> The partners work together to influence regional policy, infrastructure design and planning decisions such as investment in cycleways and walkways.</w:t>
            </w:r>
          </w:p>
        </w:tc>
      </w:tr>
    </w:tbl>
    <w:p w14:paraId="2352DDAD" w14:textId="77777777" w:rsidR="0029210A" w:rsidRPr="00C000B2" w:rsidRDefault="0029210A" w:rsidP="00563EDA">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563EDA" w14:paraId="3DE7DEFB" w14:textId="77777777" w:rsidTr="00A15BFC">
        <w:trPr>
          <w:cantSplit/>
        </w:trPr>
        <w:tc>
          <w:tcPr>
            <w:tcW w:w="426" w:type="dxa"/>
            <w:tcBorders>
              <w:right w:val="single" w:sz="48" w:space="0" w:color="FFFFFF" w:themeColor="background1"/>
            </w:tcBorders>
            <w:shd w:val="clear" w:color="auto" w:fill="22B893"/>
          </w:tcPr>
          <w:p w14:paraId="3D0EF277" w14:textId="77777777" w:rsidR="00563EDA" w:rsidRDefault="00563EDA" w:rsidP="00A15BFC"/>
        </w:tc>
        <w:tc>
          <w:tcPr>
            <w:tcW w:w="7371" w:type="dxa"/>
          </w:tcPr>
          <w:p w14:paraId="0178970D" w14:textId="77777777" w:rsidR="00563EDA" w:rsidRPr="00563EDA" w:rsidRDefault="00563EDA" w:rsidP="00A15BFC">
            <w:pPr>
              <w:pStyle w:val="TableText"/>
              <w:rPr>
                <w:sz w:val="22"/>
                <w:szCs w:val="22"/>
              </w:rPr>
            </w:pPr>
            <w:r w:rsidRPr="0029210A">
              <w:rPr>
                <w:b/>
                <w:sz w:val="22"/>
                <w:szCs w:val="22"/>
              </w:rPr>
              <w:t xml:space="preserve">Focus area: </w:t>
            </w:r>
            <w:r w:rsidRPr="00563EDA">
              <w:rPr>
                <w:sz w:val="22"/>
                <w:szCs w:val="22"/>
              </w:rPr>
              <w:t>Implement programmes across multiple settings to increase physical activity and reduce sedentary time</w:t>
            </w:r>
          </w:p>
          <w:p w14:paraId="0A477CB5" w14:textId="77777777" w:rsidR="00563EDA" w:rsidRPr="00563EDA" w:rsidRDefault="00563EDA" w:rsidP="00563EDA">
            <w:pPr>
              <w:pStyle w:val="TableText"/>
              <w:rPr>
                <w:sz w:val="20"/>
              </w:rPr>
            </w:pPr>
            <w:r w:rsidRPr="00563EDA">
              <w:rPr>
                <w:sz w:val="20"/>
              </w:rPr>
              <w:t xml:space="preserve">What do we know about the impact of settings, such as the workplace, </w:t>
            </w:r>
            <w:proofErr w:type="gramStart"/>
            <w:r w:rsidRPr="00563EDA">
              <w:rPr>
                <w:sz w:val="20"/>
              </w:rPr>
              <w:t>school</w:t>
            </w:r>
            <w:proofErr w:type="gramEnd"/>
            <w:r w:rsidRPr="00563EDA">
              <w:rPr>
                <w:sz w:val="20"/>
              </w:rPr>
              <w:t xml:space="preserve"> or community on physical activity levels?</w:t>
            </w:r>
          </w:p>
          <w:p w14:paraId="7387DAF5" w14:textId="77777777" w:rsidR="00563EDA" w:rsidRDefault="00563EDA" w:rsidP="00563EDA">
            <w:pPr>
              <w:pStyle w:val="TableText"/>
            </w:pPr>
            <w:r w:rsidRPr="00C000B2">
              <w:t>Common settings where people spend most of their time are important opportunities for implementing interventions to increase levels of physical activity and reduce sedentary behaviour.</w:t>
            </w:r>
            <w:r w:rsidRPr="00563EDA">
              <w:rPr>
                <w:vertAlign w:val="superscript"/>
              </w:rPr>
              <w:t>273</w:t>
            </w:r>
            <w:r w:rsidRPr="00C000B2">
              <w:t xml:space="preserve"> Occupational sitting is a major contributor to overall sedentary behaviour, accounting for more than half of total exposures for workers.</w:t>
            </w:r>
            <w:r w:rsidRPr="00563EDA">
              <w:rPr>
                <w:vertAlign w:val="superscript"/>
              </w:rPr>
              <w:t>271</w:t>
            </w:r>
            <w:r w:rsidRPr="00C000B2">
              <w:t xml:space="preserve"> Similarly, adolescents can spend over 60 percent of their school day sitting.</w:t>
            </w:r>
            <w:r w:rsidRPr="00563EDA">
              <w:rPr>
                <w:vertAlign w:val="superscript"/>
              </w:rPr>
              <w:t>295</w:t>
            </w:r>
          </w:p>
        </w:tc>
      </w:tr>
    </w:tbl>
    <w:p w14:paraId="036209B2" w14:textId="77777777" w:rsidR="00EF27EC" w:rsidRDefault="00EF27EC" w:rsidP="00563ED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0FCE0CCC" w14:textId="77777777" w:rsidTr="00AB11A2">
        <w:trPr>
          <w:cantSplit/>
        </w:trPr>
        <w:tc>
          <w:tcPr>
            <w:tcW w:w="8080" w:type="dxa"/>
            <w:gridSpan w:val="2"/>
            <w:tcBorders>
              <w:bottom w:val="nil"/>
            </w:tcBorders>
            <w:shd w:val="clear" w:color="auto" w:fill="D7EDE4"/>
          </w:tcPr>
          <w:p w14:paraId="631AA237" w14:textId="77777777" w:rsidR="0029210A" w:rsidRPr="00AB3864" w:rsidRDefault="0029210A" w:rsidP="00521114">
            <w:pPr>
              <w:pStyle w:val="TableText"/>
              <w:keepNext/>
              <w:spacing w:before="120"/>
              <w:rPr>
                <w:b/>
                <w:sz w:val="22"/>
                <w:szCs w:val="22"/>
              </w:rPr>
            </w:pPr>
            <w:r w:rsidRPr="00AB3864">
              <w:rPr>
                <w:b/>
                <w:sz w:val="22"/>
                <w:szCs w:val="22"/>
              </w:rPr>
              <w:lastRenderedPageBreak/>
              <w:t xml:space="preserve">Action: </w:t>
            </w:r>
            <w:r w:rsidR="00563EDA" w:rsidRPr="00563EDA">
              <w:rPr>
                <w:sz w:val="22"/>
                <w:szCs w:val="22"/>
              </w:rPr>
              <w:t>Implement workplace-based programmes</w:t>
            </w:r>
          </w:p>
        </w:tc>
      </w:tr>
      <w:tr w:rsidR="0029210A" w14:paraId="5320D551" w14:textId="77777777" w:rsidTr="00563EDA">
        <w:trPr>
          <w:cantSplit/>
        </w:trPr>
        <w:tc>
          <w:tcPr>
            <w:tcW w:w="4040" w:type="dxa"/>
            <w:tcBorders>
              <w:top w:val="nil"/>
              <w:bottom w:val="single" w:sz="8" w:space="0" w:color="22B893"/>
              <w:right w:val="dashed" w:sz="4" w:space="0" w:color="22B893"/>
            </w:tcBorders>
          </w:tcPr>
          <w:p w14:paraId="6ECDA867" w14:textId="77777777" w:rsidR="0029210A" w:rsidRPr="00AB3864" w:rsidRDefault="0029210A" w:rsidP="00AB11A2">
            <w:pPr>
              <w:pStyle w:val="TableText"/>
              <w:ind w:right="142"/>
              <w:rPr>
                <w:sz w:val="20"/>
              </w:rPr>
            </w:pPr>
            <w:r w:rsidRPr="00AB3864">
              <w:rPr>
                <w:sz w:val="20"/>
              </w:rPr>
              <w:t>What is the evidence?</w:t>
            </w:r>
          </w:p>
          <w:p w14:paraId="62C25D65" w14:textId="77777777" w:rsidR="0029210A" w:rsidRDefault="00563EDA" w:rsidP="00563EDA">
            <w:pPr>
              <w:pStyle w:val="TableText"/>
              <w:ind w:right="113"/>
            </w:pPr>
            <w:r w:rsidRPr="00C000B2">
              <w:t>Multicomponent workplace programmes are effective at increasing physical activity levels</w:t>
            </w:r>
            <w:r w:rsidRPr="00563EDA">
              <w:rPr>
                <w:vertAlign w:val="superscript"/>
              </w:rPr>
              <w:t>296–298</w:t>
            </w:r>
            <w:r w:rsidRPr="00C000B2">
              <w:t xml:space="preserve"> and reducing sitting time for office workers.</w:t>
            </w:r>
            <w:r w:rsidRPr="00563EDA">
              <w:rPr>
                <w:vertAlign w:val="superscript"/>
              </w:rPr>
              <w:t>271</w:t>
            </w:r>
            <w:r w:rsidRPr="00C000B2">
              <w:t xml:space="preserve"> In addition, workplace physical activity programmes </w:t>
            </w:r>
            <w:proofErr w:type="gramStart"/>
            <w:r w:rsidRPr="00C000B2">
              <w:t>brings</w:t>
            </w:r>
            <w:proofErr w:type="gramEnd"/>
            <w:r>
              <w:t xml:space="preserve"> </w:t>
            </w:r>
            <w:r w:rsidRPr="00C000B2">
              <w:t>co</w:t>
            </w:r>
            <w:r>
              <w:noBreakHyphen/>
            </w:r>
            <w:r w:rsidRPr="00C000B2">
              <w:t>benefits for both the organisation and individuals, including better staff morale, greater productivity and less absenteeism.</w:t>
            </w:r>
            <w:r w:rsidRPr="00563EDA">
              <w:rPr>
                <w:vertAlign w:val="superscript"/>
              </w:rPr>
              <w:t>277, 299</w:t>
            </w:r>
          </w:p>
        </w:tc>
        <w:tc>
          <w:tcPr>
            <w:tcW w:w="4040" w:type="dxa"/>
            <w:tcBorders>
              <w:top w:val="nil"/>
              <w:left w:val="dashed" w:sz="4" w:space="0" w:color="22B893"/>
              <w:bottom w:val="single" w:sz="8" w:space="0" w:color="22B893"/>
            </w:tcBorders>
          </w:tcPr>
          <w:p w14:paraId="5585CDC6" w14:textId="77777777" w:rsidR="0029210A" w:rsidRPr="00AB3864" w:rsidRDefault="0029210A" w:rsidP="00AB11A2">
            <w:pPr>
              <w:pStyle w:val="TableText"/>
              <w:ind w:left="113"/>
              <w:rPr>
                <w:sz w:val="20"/>
              </w:rPr>
            </w:pPr>
            <w:r w:rsidRPr="00AB3864">
              <w:rPr>
                <w:sz w:val="20"/>
              </w:rPr>
              <w:t>What is Aotearoa doing currently?</w:t>
            </w:r>
          </w:p>
          <w:p w14:paraId="0933F5DB" w14:textId="77777777" w:rsidR="00563EDA" w:rsidRPr="00C000B2" w:rsidRDefault="00563EDA" w:rsidP="00563EDA">
            <w:pPr>
              <w:pStyle w:val="TableText"/>
              <w:ind w:left="113"/>
            </w:pPr>
            <w:r w:rsidRPr="00C000B2">
              <w:t>Aotearoa has no legislative requirements for workplaces to reduce sedentary behaviour or physical inactivity.</w:t>
            </w:r>
          </w:p>
          <w:p w14:paraId="296B8CA1" w14:textId="77777777" w:rsidR="00563EDA" w:rsidRPr="00C000B2" w:rsidRDefault="00563EDA" w:rsidP="00563EDA">
            <w:pPr>
              <w:pStyle w:val="TableText"/>
              <w:ind w:left="113"/>
            </w:pPr>
            <w:r w:rsidRPr="00C000B2">
              <w:t>Te Hiringa Hauora | Health Promotion Agency has developed guidance for workplaces on supporting employees to increase their physical activity (</w:t>
            </w:r>
            <w:hyperlink r:id="rId58" w:history="1">
              <w:r w:rsidRPr="00563EDA">
                <w:rPr>
                  <w:rStyle w:val="Hyperlink"/>
                </w:rPr>
                <w:t>wellplace.nz</w:t>
              </w:r>
            </w:hyperlink>
            <w:r w:rsidRPr="00C000B2">
              <w:t xml:space="preserve"> website).</w:t>
            </w:r>
            <w:r w:rsidRPr="00563EDA">
              <w:rPr>
                <w:vertAlign w:val="superscript"/>
              </w:rPr>
              <w:t>300</w:t>
            </w:r>
          </w:p>
          <w:p w14:paraId="1DFECD90" w14:textId="77777777" w:rsidR="0029210A" w:rsidRDefault="00563EDA" w:rsidP="00563EDA">
            <w:pPr>
              <w:pStyle w:val="TableText"/>
              <w:ind w:left="113"/>
            </w:pPr>
            <w:r w:rsidRPr="00C000B2">
              <w:t>Te Hiringa Hauora has partnered with other agencies, including Toi Te Ora, to develop workplace wellbeing programmes that include actions to increase physical activity in the workplace. There is potential to scale up these programmes and implement them across the public and private sectors.</w:t>
            </w:r>
          </w:p>
        </w:tc>
      </w:tr>
    </w:tbl>
    <w:p w14:paraId="2DA4739F" w14:textId="77777777" w:rsidR="0029210A" w:rsidRPr="00C000B2" w:rsidRDefault="0029210A" w:rsidP="00563ED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729AA71A" w14:textId="77777777" w:rsidTr="00AB11A2">
        <w:trPr>
          <w:cantSplit/>
        </w:trPr>
        <w:tc>
          <w:tcPr>
            <w:tcW w:w="8080" w:type="dxa"/>
            <w:gridSpan w:val="2"/>
            <w:tcBorders>
              <w:bottom w:val="nil"/>
            </w:tcBorders>
            <w:shd w:val="clear" w:color="auto" w:fill="D7EDE4"/>
          </w:tcPr>
          <w:p w14:paraId="18F46385" w14:textId="77777777" w:rsidR="0029210A" w:rsidRPr="00AB3864" w:rsidRDefault="0029210A" w:rsidP="00563EDA">
            <w:pPr>
              <w:pStyle w:val="TableText"/>
              <w:spacing w:before="120"/>
              <w:rPr>
                <w:b/>
                <w:sz w:val="22"/>
                <w:szCs w:val="22"/>
              </w:rPr>
            </w:pPr>
            <w:r w:rsidRPr="00AB3864">
              <w:rPr>
                <w:b/>
                <w:sz w:val="22"/>
                <w:szCs w:val="22"/>
              </w:rPr>
              <w:t xml:space="preserve">Action: </w:t>
            </w:r>
            <w:r w:rsidR="00563EDA" w:rsidRPr="00563EDA">
              <w:rPr>
                <w:sz w:val="22"/>
              </w:rPr>
              <w:t>Implement school-based programmes</w:t>
            </w:r>
          </w:p>
        </w:tc>
      </w:tr>
      <w:tr w:rsidR="0029210A" w14:paraId="79A418F0" w14:textId="77777777" w:rsidTr="00563EDA">
        <w:trPr>
          <w:cantSplit/>
        </w:trPr>
        <w:tc>
          <w:tcPr>
            <w:tcW w:w="4040" w:type="dxa"/>
            <w:tcBorders>
              <w:top w:val="nil"/>
              <w:bottom w:val="single" w:sz="8" w:space="0" w:color="22B893"/>
              <w:right w:val="dashed" w:sz="4" w:space="0" w:color="22B893"/>
            </w:tcBorders>
          </w:tcPr>
          <w:p w14:paraId="32097CB8" w14:textId="77777777" w:rsidR="0029210A" w:rsidRPr="00AB3864" w:rsidRDefault="0029210A" w:rsidP="00AB11A2">
            <w:pPr>
              <w:pStyle w:val="TableText"/>
              <w:ind w:right="142"/>
              <w:rPr>
                <w:sz w:val="20"/>
              </w:rPr>
            </w:pPr>
            <w:r w:rsidRPr="00AB3864">
              <w:rPr>
                <w:sz w:val="20"/>
              </w:rPr>
              <w:t>What is the evidence?</w:t>
            </w:r>
          </w:p>
          <w:p w14:paraId="31026474" w14:textId="77777777" w:rsidR="00563EDA" w:rsidRPr="00C000B2" w:rsidRDefault="00563EDA" w:rsidP="00563EDA">
            <w:pPr>
              <w:pStyle w:val="TableText"/>
            </w:pPr>
            <w:r w:rsidRPr="00C000B2">
              <w:t>Multicomponent whole-of-school initiatives in childcare and school settings can be effective at increasing physical activity in children.</w:t>
            </w:r>
            <w:r w:rsidRPr="00563EDA">
              <w:rPr>
                <w:vertAlign w:val="superscript"/>
              </w:rPr>
              <w:t>219, 298, 301</w:t>
            </w:r>
          </w:p>
          <w:p w14:paraId="43D4862A" w14:textId="77777777" w:rsidR="0029210A" w:rsidRDefault="00563EDA" w:rsidP="00563EDA">
            <w:pPr>
              <w:pStyle w:val="TableText"/>
              <w:ind w:right="113"/>
            </w:pPr>
            <w:r w:rsidRPr="00C000B2">
              <w:t>Aotearoa modelling shows that providing school-based physical education for 2.5 hours per week will significantly reduce the proportion of minimally active young people and increase the proportion</w:t>
            </w:r>
            <w:r>
              <w:t xml:space="preserve"> </w:t>
            </w:r>
            <w:r w:rsidRPr="00C000B2">
              <w:t>of sufficiently active young people.</w:t>
            </w:r>
            <w:r w:rsidRPr="00563EDA">
              <w:rPr>
                <w:vertAlign w:val="superscript"/>
              </w:rPr>
              <w:t>302</w:t>
            </w:r>
            <w:r w:rsidRPr="00C000B2">
              <w:t xml:space="preserve"> Furthermore, regular physical education and supportive school environments can contribute to long-lasting healthy,</w:t>
            </w:r>
            <w:r>
              <w:t xml:space="preserve"> </w:t>
            </w:r>
            <w:r w:rsidRPr="00C000B2">
              <w:t>active lifestyles.</w:t>
            </w:r>
            <w:r w:rsidRPr="00563EDA">
              <w:rPr>
                <w:vertAlign w:val="superscript"/>
              </w:rPr>
              <w:t>273</w:t>
            </w:r>
          </w:p>
        </w:tc>
        <w:tc>
          <w:tcPr>
            <w:tcW w:w="4040" w:type="dxa"/>
            <w:tcBorders>
              <w:top w:val="nil"/>
              <w:left w:val="dashed" w:sz="4" w:space="0" w:color="22B893"/>
              <w:bottom w:val="single" w:sz="8" w:space="0" w:color="22B893"/>
            </w:tcBorders>
          </w:tcPr>
          <w:p w14:paraId="4B2BD2CC" w14:textId="77777777" w:rsidR="0029210A" w:rsidRPr="00AB3864" w:rsidRDefault="0029210A" w:rsidP="00AB11A2">
            <w:pPr>
              <w:pStyle w:val="TableText"/>
              <w:ind w:left="113"/>
              <w:rPr>
                <w:sz w:val="20"/>
              </w:rPr>
            </w:pPr>
            <w:r w:rsidRPr="00AB3864">
              <w:rPr>
                <w:sz w:val="20"/>
              </w:rPr>
              <w:t>What is Aotearoa doing currently?</w:t>
            </w:r>
          </w:p>
          <w:p w14:paraId="6B42B845" w14:textId="77777777" w:rsidR="0029210A" w:rsidRDefault="00563EDA" w:rsidP="00AB11A2">
            <w:pPr>
              <w:pStyle w:val="TableText"/>
              <w:ind w:left="113"/>
            </w:pPr>
            <w:r w:rsidRPr="00C000B2">
              <w:t xml:space="preserve">The Ministries of Health and Education, and Sport New Zealand have recently established a voluntary </w:t>
            </w:r>
            <w:r w:rsidRPr="00C000B2">
              <w:rPr>
                <w:i/>
              </w:rPr>
              <w:t xml:space="preserve">Healthy Active Learning </w:t>
            </w:r>
            <w:r w:rsidRPr="00C000B2">
              <w:t xml:space="preserve">initiative. This initiative provides curriculum resources, </w:t>
            </w:r>
            <w:proofErr w:type="gramStart"/>
            <w:r w:rsidRPr="00C000B2">
              <w:t>support</w:t>
            </w:r>
            <w:proofErr w:type="gramEnd"/>
            <w:r w:rsidRPr="00C000B2">
              <w:t xml:space="preserve"> and a trained workforce for delivering physical activity experiences, creating active learning environments and better linkages to the local community.</w:t>
            </w:r>
            <w:r w:rsidRPr="00563EDA">
              <w:rPr>
                <w:vertAlign w:val="superscript"/>
              </w:rPr>
              <w:t>244</w:t>
            </w:r>
            <w:r w:rsidRPr="00C000B2">
              <w:t xml:space="preserve"> The initiative was rolled out to 300 schools in 2020 and will expand to 800 schools by 2022.</w:t>
            </w:r>
          </w:p>
        </w:tc>
      </w:tr>
    </w:tbl>
    <w:p w14:paraId="275DA25B" w14:textId="77777777" w:rsidR="0029210A" w:rsidRPr="00C000B2" w:rsidRDefault="0029210A" w:rsidP="00563ED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44A2FD49" w14:textId="77777777" w:rsidTr="00AB11A2">
        <w:trPr>
          <w:cantSplit/>
        </w:trPr>
        <w:tc>
          <w:tcPr>
            <w:tcW w:w="8080" w:type="dxa"/>
            <w:gridSpan w:val="2"/>
            <w:tcBorders>
              <w:bottom w:val="nil"/>
            </w:tcBorders>
            <w:shd w:val="clear" w:color="auto" w:fill="D7EDE4"/>
          </w:tcPr>
          <w:p w14:paraId="4E2A3794" w14:textId="77777777" w:rsidR="0029210A" w:rsidRPr="00AB3864" w:rsidRDefault="0029210A" w:rsidP="00521114">
            <w:pPr>
              <w:pStyle w:val="TableText"/>
              <w:keepNext/>
              <w:spacing w:before="120"/>
              <w:rPr>
                <w:b/>
                <w:sz w:val="22"/>
                <w:szCs w:val="22"/>
              </w:rPr>
            </w:pPr>
            <w:r w:rsidRPr="00AB3864">
              <w:rPr>
                <w:b/>
                <w:sz w:val="22"/>
                <w:szCs w:val="22"/>
              </w:rPr>
              <w:lastRenderedPageBreak/>
              <w:t xml:space="preserve">Action: </w:t>
            </w:r>
            <w:r w:rsidR="00563EDA" w:rsidRPr="00563EDA">
              <w:rPr>
                <w:sz w:val="22"/>
                <w:szCs w:val="22"/>
              </w:rPr>
              <w:t>Implement community-based programmes</w:t>
            </w:r>
          </w:p>
        </w:tc>
      </w:tr>
      <w:tr w:rsidR="0029210A" w14:paraId="1B9093C9" w14:textId="77777777" w:rsidTr="00563EDA">
        <w:trPr>
          <w:cantSplit/>
        </w:trPr>
        <w:tc>
          <w:tcPr>
            <w:tcW w:w="4040" w:type="dxa"/>
            <w:tcBorders>
              <w:top w:val="nil"/>
              <w:bottom w:val="single" w:sz="8" w:space="0" w:color="22B893"/>
              <w:right w:val="dashed" w:sz="4" w:space="0" w:color="22B893"/>
            </w:tcBorders>
          </w:tcPr>
          <w:p w14:paraId="3BDBAF2A" w14:textId="77777777" w:rsidR="0029210A" w:rsidRPr="00AB3864" w:rsidRDefault="0029210A" w:rsidP="00AB11A2">
            <w:pPr>
              <w:pStyle w:val="TableText"/>
              <w:ind w:right="142"/>
              <w:rPr>
                <w:sz w:val="20"/>
              </w:rPr>
            </w:pPr>
            <w:r w:rsidRPr="00AB3864">
              <w:rPr>
                <w:sz w:val="20"/>
              </w:rPr>
              <w:t>What is the evidence?</w:t>
            </w:r>
          </w:p>
          <w:p w14:paraId="75DBA955" w14:textId="77777777" w:rsidR="0029210A" w:rsidRDefault="00563EDA" w:rsidP="00563EDA">
            <w:pPr>
              <w:pStyle w:val="TableText"/>
              <w:ind w:right="113"/>
            </w:pPr>
            <w:r w:rsidRPr="00C000B2">
              <w:t>Community-based physical activity programmes are effective when they are tailored to the needs of the community they are operating in and harness local partnerships and strengths to create synergistic benefits.</w:t>
            </w:r>
            <w:r w:rsidRPr="00563EDA">
              <w:rPr>
                <w:vertAlign w:val="superscript"/>
              </w:rPr>
              <w:t>275</w:t>
            </w:r>
            <w:r w:rsidRPr="00C000B2">
              <w:t xml:space="preserve"> Researchers recommend that such programmes include the following features: community-wide education campaigns; family-based interventions, settings-based programmes, technology-based interventions and health care and environmental policy change.</w:t>
            </w:r>
            <w:r w:rsidRPr="00563EDA">
              <w:rPr>
                <w:vertAlign w:val="superscript"/>
              </w:rPr>
              <w:t>298</w:t>
            </w:r>
          </w:p>
        </w:tc>
        <w:tc>
          <w:tcPr>
            <w:tcW w:w="4040" w:type="dxa"/>
            <w:tcBorders>
              <w:top w:val="nil"/>
              <w:left w:val="dashed" w:sz="4" w:space="0" w:color="22B893"/>
              <w:bottom w:val="single" w:sz="8" w:space="0" w:color="22B893"/>
            </w:tcBorders>
          </w:tcPr>
          <w:p w14:paraId="06FC223C" w14:textId="77777777" w:rsidR="0029210A" w:rsidRPr="00AB3864" w:rsidRDefault="0029210A" w:rsidP="00AB11A2">
            <w:pPr>
              <w:pStyle w:val="TableText"/>
              <w:ind w:left="113"/>
              <w:rPr>
                <w:sz w:val="20"/>
              </w:rPr>
            </w:pPr>
            <w:r w:rsidRPr="00AB3864">
              <w:rPr>
                <w:sz w:val="20"/>
              </w:rPr>
              <w:t>What is Aotearoa doing currently?</w:t>
            </w:r>
          </w:p>
          <w:p w14:paraId="11BA111F" w14:textId="77777777" w:rsidR="00563EDA" w:rsidRPr="00C000B2" w:rsidRDefault="00563EDA" w:rsidP="00563EDA">
            <w:pPr>
              <w:pStyle w:val="TableText"/>
              <w:ind w:left="113"/>
            </w:pPr>
            <w:r w:rsidRPr="00C000B2">
              <w:rPr>
                <w:i/>
              </w:rPr>
              <w:t xml:space="preserve">Healthy Families New Zealand </w:t>
            </w:r>
            <w:r w:rsidRPr="00C000B2">
              <w:t>is an innovative large-scale prevention initiative funded by the Ministry of Health that currently operates in 10</w:t>
            </w:r>
            <w:r>
              <w:t> </w:t>
            </w:r>
            <w:r w:rsidRPr="00C000B2">
              <w:t xml:space="preserve">communities in Aotearoa. It focuses on systems change and supports community leaders to work together to create healthier environments (addressing food, physical activity, </w:t>
            </w:r>
            <w:proofErr w:type="gramStart"/>
            <w:r w:rsidRPr="00C000B2">
              <w:t>alcohol</w:t>
            </w:r>
            <w:proofErr w:type="gramEnd"/>
            <w:r w:rsidRPr="00C000B2">
              <w:t xml:space="preserve"> and tobacco) in a range of community settings.</w:t>
            </w:r>
          </w:p>
          <w:p w14:paraId="2A2F8404" w14:textId="77777777" w:rsidR="00563EDA" w:rsidRPr="00C000B2" w:rsidRDefault="00563EDA" w:rsidP="00563EDA">
            <w:pPr>
              <w:pStyle w:val="TableText"/>
              <w:ind w:left="113"/>
            </w:pPr>
            <w:r w:rsidRPr="00C000B2">
              <w:t>An initial evaluation found the programme had successfully prioritised equity, Māori ownership and participation and had strengthened prevention efforts in all communities.</w:t>
            </w:r>
            <w:r w:rsidRPr="00563EDA">
              <w:rPr>
                <w:vertAlign w:val="superscript"/>
              </w:rPr>
              <w:t>246</w:t>
            </w:r>
            <w:r w:rsidRPr="00C000B2">
              <w:t xml:space="preserve"> However, the impact of the programme is limited by the small number of communities involved.</w:t>
            </w:r>
          </w:p>
          <w:p w14:paraId="7BE8584E" w14:textId="77777777" w:rsidR="0029210A" w:rsidRDefault="00563EDA" w:rsidP="00563EDA">
            <w:pPr>
              <w:pStyle w:val="TableText"/>
              <w:ind w:left="113"/>
            </w:pPr>
            <w:r w:rsidRPr="00C000B2">
              <w:t xml:space="preserve">There are community-based initiatives currently operational, including Māori- and Pacific-led physical activity programmes, outside of the </w:t>
            </w:r>
            <w:r w:rsidRPr="00C000B2">
              <w:rPr>
                <w:i/>
              </w:rPr>
              <w:t xml:space="preserve">Healthy Families New Zealand </w:t>
            </w:r>
            <w:r w:rsidRPr="00C000B2">
              <w:t>initiative.</w:t>
            </w:r>
          </w:p>
        </w:tc>
      </w:tr>
    </w:tbl>
    <w:p w14:paraId="14824BC8" w14:textId="77777777" w:rsidR="0029210A" w:rsidRPr="00C000B2" w:rsidRDefault="0029210A" w:rsidP="00563EDA">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50EE38D3" w14:textId="77777777" w:rsidTr="00351028">
        <w:trPr>
          <w:cantSplit/>
        </w:trPr>
        <w:tc>
          <w:tcPr>
            <w:tcW w:w="426" w:type="dxa"/>
            <w:tcBorders>
              <w:right w:val="single" w:sz="48" w:space="0" w:color="FFFFFF" w:themeColor="background1"/>
            </w:tcBorders>
            <w:shd w:val="clear" w:color="auto" w:fill="22B893"/>
          </w:tcPr>
          <w:p w14:paraId="65A1EF40" w14:textId="77777777" w:rsidR="00990345" w:rsidRDefault="00990345" w:rsidP="00351028"/>
        </w:tc>
        <w:tc>
          <w:tcPr>
            <w:tcW w:w="7371" w:type="dxa"/>
            <w:gridSpan w:val="2"/>
          </w:tcPr>
          <w:p w14:paraId="106461EA" w14:textId="77777777" w:rsidR="00990345" w:rsidRPr="00521114" w:rsidRDefault="00990345" w:rsidP="00351028">
            <w:pPr>
              <w:pStyle w:val="TableText"/>
              <w:rPr>
                <w:sz w:val="22"/>
                <w:szCs w:val="22"/>
              </w:rPr>
            </w:pPr>
            <w:r w:rsidRPr="0029210A">
              <w:rPr>
                <w:b/>
                <w:sz w:val="22"/>
                <w:szCs w:val="22"/>
              </w:rPr>
              <w:t xml:space="preserve">Focus area: </w:t>
            </w:r>
            <w:r w:rsidR="00521114" w:rsidRPr="00521114">
              <w:rPr>
                <w:sz w:val="22"/>
                <w:szCs w:val="22"/>
              </w:rPr>
              <w:t>Increase physical activity levels through participation in active recreation and sport</w:t>
            </w:r>
          </w:p>
          <w:p w14:paraId="760D048D" w14:textId="77777777" w:rsidR="00521114" w:rsidRPr="00521114" w:rsidRDefault="00521114" w:rsidP="00521114">
            <w:pPr>
              <w:pStyle w:val="TableText"/>
              <w:rPr>
                <w:sz w:val="20"/>
              </w:rPr>
            </w:pPr>
            <w:r w:rsidRPr="00521114">
              <w:rPr>
                <w:sz w:val="20"/>
              </w:rPr>
              <w:t>What do we know about the impact of participating in active recreation and/ or sport?</w:t>
            </w:r>
          </w:p>
          <w:p w14:paraId="6C749E6A" w14:textId="77777777" w:rsidR="00990345" w:rsidRDefault="00521114" w:rsidP="00521114">
            <w:pPr>
              <w:pStyle w:val="TableText"/>
            </w:pPr>
            <w:r w:rsidRPr="00C000B2">
              <w:t>As well as increasing physical activity, participation in both active recreation activities and organised sport has wide-ranging benefits to health and wellbeing.</w:t>
            </w:r>
            <w:r w:rsidRPr="00521114">
              <w:rPr>
                <w:vertAlign w:val="superscript"/>
              </w:rPr>
              <w:t>275</w:t>
            </w:r>
            <w:r w:rsidRPr="00C000B2">
              <w:t xml:space="preserve"> People who are involved in sport are more likely to achieve recommended levels of physical activity each week.</w:t>
            </w:r>
            <w:r w:rsidRPr="00521114">
              <w:rPr>
                <w:vertAlign w:val="superscript"/>
              </w:rPr>
              <w:t>303, 304</w:t>
            </w:r>
          </w:p>
        </w:tc>
      </w:tr>
      <w:tr w:rsidR="00990345" w14:paraId="19F8DB43" w14:textId="77777777" w:rsidTr="00351028">
        <w:trPr>
          <w:cantSplit/>
        </w:trPr>
        <w:tc>
          <w:tcPr>
            <w:tcW w:w="426" w:type="dxa"/>
            <w:tcBorders>
              <w:right w:val="single" w:sz="48" w:space="0" w:color="FFFFFF" w:themeColor="background1"/>
            </w:tcBorders>
            <w:shd w:val="clear" w:color="auto" w:fill="22B893"/>
          </w:tcPr>
          <w:p w14:paraId="5E06DB48" w14:textId="77777777" w:rsidR="00990345" w:rsidRDefault="00990345" w:rsidP="00351028"/>
        </w:tc>
        <w:tc>
          <w:tcPr>
            <w:tcW w:w="304" w:type="dxa"/>
            <w:shd w:val="clear" w:color="auto" w:fill="F37973"/>
          </w:tcPr>
          <w:p w14:paraId="481730D2" w14:textId="77777777" w:rsidR="00990345" w:rsidRPr="0029210A" w:rsidRDefault="00990345" w:rsidP="00351028">
            <w:pPr>
              <w:pStyle w:val="TableText"/>
            </w:pPr>
          </w:p>
        </w:tc>
        <w:tc>
          <w:tcPr>
            <w:tcW w:w="7067" w:type="dxa"/>
          </w:tcPr>
          <w:p w14:paraId="3CB8D60F" w14:textId="77777777" w:rsidR="00990345" w:rsidRPr="0029210A" w:rsidRDefault="00521114" w:rsidP="00351028">
            <w:pPr>
              <w:pStyle w:val="TableText"/>
              <w:ind w:left="113"/>
            </w:pPr>
            <w:r w:rsidRPr="00C000B2">
              <w:t>In Aotearoa, adults and children living in the most socioeconomically deprived communities are less likely to participate in active recreation or sport than those from less deprived areas.</w:t>
            </w:r>
            <w:r w:rsidRPr="00521114">
              <w:rPr>
                <w:vertAlign w:val="superscript"/>
              </w:rPr>
              <w:t>266</w:t>
            </w:r>
          </w:p>
        </w:tc>
      </w:tr>
    </w:tbl>
    <w:p w14:paraId="7B005CB2" w14:textId="77777777" w:rsidR="00EF27EC" w:rsidRDefault="00EF27EC" w:rsidP="00521114">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5905DAF1" w14:textId="77777777" w:rsidTr="00AB11A2">
        <w:trPr>
          <w:cantSplit/>
        </w:trPr>
        <w:tc>
          <w:tcPr>
            <w:tcW w:w="8080" w:type="dxa"/>
            <w:gridSpan w:val="2"/>
            <w:tcBorders>
              <w:bottom w:val="nil"/>
            </w:tcBorders>
            <w:shd w:val="clear" w:color="auto" w:fill="D7EDE4"/>
          </w:tcPr>
          <w:p w14:paraId="57F1242E" w14:textId="77777777" w:rsidR="0029210A" w:rsidRPr="00AB3864" w:rsidRDefault="0029210A" w:rsidP="00521114">
            <w:pPr>
              <w:pStyle w:val="TableText"/>
              <w:keepNext/>
              <w:spacing w:before="120"/>
              <w:rPr>
                <w:b/>
                <w:sz w:val="22"/>
                <w:szCs w:val="22"/>
              </w:rPr>
            </w:pPr>
            <w:r w:rsidRPr="00AB3864">
              <w:rPr>
                <w:b/>
                <w:sz w:val="22"/>
                <w:szCs w:val="22"/>
              </w:rPr>
              <w:lastRenderedPageBreak/>
              <w:t xml:space="preserve">Action: </w:t>
            </w:r>
            <w:r w:rsidR="00521114" w:rsidRPr="00521114">
              <w:rPr>
                <w:sz w:val="22"/>
                <w:szCs w:val="22"/>
              </w:rPr>
              <w:t>Increase participation in active recreational activities, particularly for those groups not currently engaged</w:t>
            </w:r>
          </w:p>
        </w:tc>
      </w:tr>
      <w:tr w:rsidR="0029210A" w14:paraId="25F250C5" w14:textId="77777777" w:rsidTr="00521114">
        <w:trPr>
          <w:cantSplit/>
        </w:trPr>
        <w:tc>
          <w:tcPr>
            <w:tcW w:w="4040" w:type="dxa"/>
            <w:tcBorders>
              <w:top w:val="nil"/>
              <w:bottom w:val="single" w:sz="8" w:space="0" w:color="22B893"/>
              <w:right w:val="dashed" w:sz="4" w:space="0" w:color="22B893"/>
            </w:tcBorders>
          </w:tcPr>
          <w:p w14:paraId="50AD2E69" w14:textId="77777777" w:rsidR="0029210A" w:rsidRPr="00AB3864" w:rsidRDefault="0029210A" w:rsidP="00AB11A2">
            <w:pPr>
              <w:pStyle w:val="TableText"/>
              <w:ind w:right="142"/>
              <w:rPr>
                <w:sz w:val="20"/>
              </w:rPr>
            </w:pPr>
            <w:r w:rsidRPr="00AB3864">
              <w:rPr>
                <w:sz w:val="20"/>
              </w:rPr>
              <w:t>What is the evidence?</w:t>
            </w:r>
          </w:p>
          <w:p w14:paraId="1EDA4A56" w14:textId="77777777" w:rsidR="00521114" w:rsidRPr="00C000B2" w:rsidRDefault="00521114" w:rsidP="00521114">
            <w:pPr>
              <w:pStyle w:val="TableText"/>
              <w:ind w:right="113"/>
            </w:pPr>
            <w:r w:rsidRPr="00C000B2">
              <w:t>Because people often undertake active recreational activities for the purpose of enjoyment or wellbeing, this form of activity can potentially increase their physical activity levels without them being aware of it.</w:t>
            </w:r>
            <w:r w:rsidRPr="00521114">
              <w:rPr>
                <w:vertAlign w:val="superscript"/>
              </w:rPr>
              <w:t>305</w:t>
            </w:r>
            <w:r w:rsidRPr="00C000B2">
              <w:t xml:space="preserve"> In addition, uptake of active recreation may be higher among certain groups as participants can do the activity when, with whom, how and where they want.</w:t>
            </w:r>
            <w:r w:rsidRPr="00521114">
              <w:rPr>
                <w:vertAlign w:val="superscript"/>
              </w:rPr>
              <w:t>306</w:t>
            </w:r>
          </w:p>
          <w:p w14:paraId="37629711" w14:textId="77777777" w:rsidR="00521114" w:rsidRPr="00C000B2" w:rsidRDefault="00521114" w:rsidP="00521114">
            <w:pPr>
              <w:pStyle w:val="TableText"/>
              <w:ind w:right="113"/>
            </w:pPr>
            <w:r w:rsidRPr="00C000B2">
              <w:t>Active play and recreation are important for healthy growth and development in early childhood through to adolescence.</w:t>
            </w:r>
            <w:r w:rsidRPr="00521114">
              <w:rPr>
                <w:vertAlign w:val="superscript"/>
              </w:rPr>
              <w:t>268</w:t>
            </w:r>
            <w:r w:rsidRPr="00C000B2">
              <w:t xml:space="preserve"> For older people, regular physical</w:t>
            </w:r>
            <w:r>
              <w:t xml:space="preserve"> </w:t>
            </w:r>
            <w:r w:rsidRPr="00C000B2">
              <w:t>activity in the form of active recreation supports healthy ageing.</w:t>
            </w:r>
            <w:r w:rsidRPr="00521114">
              <w:rPr>
                <w:vertAlign w:val="superscript"/>
              </w:rPr>
              <w:t>267</w:t>
            </w:r>
          </w:p>
          <w:p w14:paraId="5C4A2823" w14:textId="77777777" w:rsidR="00521114" w:rsidRPr="00C000B2" w:rsidRDefault="00521114" w:rsidP="00521114">
            <w:pPr>
              <w:pStyle w:val="TableText"/>
              <w:ind w:right="113"/>
            </w:pPr>
            <w:r w:rsidRPr="00C000B2">
              <w:t>In Aotearoa, most adults prefer to participate in physical activity casually, either on their own or with others.</w:t>
            </w:r>
          </w:p>
          <w:p w14:paraId="23F2B310" w14:textId="77777777" w:rsidR="0029210A" w:rsidRDefault="00521114" w:rsidP="00521114">
            <w:pPr>
              <w:pStyle w:val="TableText"/>
              <w:ind w:right="113"/>
            </w:pPr>
            <w:r w:rsidRPr="00C000B2">
              <w:t>Walking is by the far the most common type of physical activity that people participate in across all ethnicities</w:t>
            </w:r>
            <w:r>
              <w:t xml:space="preserve"> </w:t>
            </w:r>
            <w:r w:rsidRPr="00C000B2">
              <w:t>and levels of deprivation.</w:t>
            </w:r>
            <w:r w:rsidRPr="00521114">
              <w:rPr>
                <w:vertAlign w:val="superscript"/>
              </w:rPr>
              <w:t>307</w:t>
            </w:r>
          </w:p>
        </w:tc>
        <w:tc>
          <w:tcPr>
            <w:tcW w:w="4040" w:type="dxa"/>
            <w:tcBorders>
              <w:top w:val="nil"/>
              <w:left w:val="dashed" w:sz="4" w:space="0" w:color="22B893"/>
              <w:bottom w:val="single" w:sz="8" w:space="0" w:color="22B893"/>
            </w:tcBorders>
          </w:tcPr>
          <w:p w14:paraId="30CC3951" w14:textId="77777777" w:rsidR="0029210A" w:rsidRPr="00AB3864" w:rsidRDefault="0029210A" w:rsidP="00AB11A2">
            <w:pPr>
              <w:pStyle w:val="TableText"/>
              <w:ind w:left="113"/>
              <w:rPr>
                <w:sz w:val="20"/>
              </w:rPr>
            </w:pPr>
            <w:r w:rsidRPr="00AB3864">
              <w:rPr>
                <w:sz w:val="20"/>
              </w:rPr>
              <w:t>What is Aotearoa doing currently?</w:t>
            </w:r>
          </w:p>
          <w:p w14:paraId="25BF9D5D" w14:textId="77777777" w:rsidR="00521114" w:rsidRPr="00C000B2" w:rsidRDefault="00521114" w:rsidP="00521114">
            <w:pPr>
              <w:pStyle w:val="TableText"/>
              <w:ind w:left="113"/>
            </w:pPr>
            <w:r w:rsidRPr="00C000B2">
              <w:t xml:space="preserve">Sport New Zealand’s strategy </w:t>
            </w:r>
            <w:proofErr w:type="gramStart"/>
            <w:r w:rsidRPr="00C000B2">
              <w:rPr>
                <w:i/>
              </w:rPr>
              <w:t>Every Body</w:t>
            </w:r>
            <w:proofErr w:type="gramEnd"/>
            <w:r w:rsidRPr="00C000B2">
              <w:rPr>
                <w:i/>
              </w:rPr>
              <w:t xml:space="preserve"> Active </w:t>
            </w:r>
            <w:r w:rsidRPr="00C000B2">
              <w:t>aims to increase the physical activity levels of New Zealanders. In 2020/21, priority populations for Sport New Zealand included high-deprivation communities, girls and young women aged</w:t>
            </w:r>
            <w:r>
              <w:t xml:space="preserve"> </w:t>
            </w:r>
            <w:r w:rsidRPr="00C000B2">
              <w:t xml:space="preserve">5–18 years and disabled </w:t>
            </w:r>
            <w:proofErr w:type="spellStart"/>
            <w:r w:rsidRPr="00C000B2">
              <w:t>tamariki</w:t>
            </w:r>
            <w:proofErr w:type="spellEnd"/>
            <w:r w:rsidRPr="00C000B2">
              <w:t xml:space="preserve"> and </w:t>
            </w:r>
            <w:proofErr w:type="spellStart"/>
            <w:r w:rsidRPr="00C000B2">
              <w:t>rangatahi</w:t>
            </w:r>
            <w:proofErr w:type="spellEnd"/>
            <w:r w:rsidRPr="00C000B2">
              <w:t xml:space="preserve">. Sport New Zealand collaborates with local, </w:t>
            </w:r>
            <w:proofErr w:type="gramStart"/>
            <w:r w:rsidRPr="00C000B2">
              <w:t>national</w:t>
            </w:r>
            <w:proofErr w:type="gramEnd"/>
            <w:r w:rsidRPr="00C000B2">
              <w:t xml:space="preserve"> and international partners in the active recreation sector.</w:t>
            </w:r>
          </w:p>
          <w:p w14:paraId="4304B075" w14:textId="77777777" w:rsidR="0029210A" w:rsidRDefault="00521114" w:rsidP="00521114">
            <w:pPr>
              <w:pStyle w:val="TableText"/>
              <w:ind w:left="113"/>
            </w:pPr>
            <w:r w:rsidRPr="00C000B2">
              <w:t>There are a range of initiatives under</w:t>
            </w:r>
            <w:r>
              <w:t xml:space="preserve"> </w:t>
            </w:r>
            <w:r w:rsidRPr="00C000B2">
              <w:t xml:space="preserve">way to implement this strategy. For example, </w:t>
            </w:r>
            <w:proofErr w:type="spellStart"/>
            <w:r w:rsidRPr="00C000B2">
              <w:t>Tū</w:t>
            </w:r>
            <w:proofErr w:type="spellEnd"/>
            <w:r>
              <w:t> </w:t>
            </w:r>
            <w:r w:rsidRPr="00C000B2">
              <w:t>Manawa Active Aotearoa allocates funding to promote play, active recreation and sport for school-aged children and the Young Women’s Activation fund focuses on initiatives to help more young women get and stay active.</w:t>
            </w:r>
          </w:p>
        </w:tc>
      </w:tr>
    </w:tbl>
    <w:p w14:paraId="5C116E5B" w14:textId="77777777" w:rsidR="0029210A" w:rsidRPr="00C000B2" w:rsidRDefault="0029210A" w:rsidP="00521114">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1D830310" w14:textId="77777777" w:rsidTr="00AB11A2">
        <w:trPr>
          <w:cantSplit/>
        </w:trPr>
        <w:tc>
          <w:tcPr>
            <w:tcW w:w="8080" w:type="dxa"/>
            <w:gridSpan w:val="2"/>
            <w:tcBorders>
              <w:bottom w:val="nil"/>
            </w:tcBorders>
            <w:shd w:val="clear" w:color="auto" w:fill="D7EDE4"/>
          </w:tcPr>
          <w:p w14:paraId="23C37C44" w14:textId="77777777" w:rsidR="0029210A" w:rsidRPr="00AB3864" w:rsidRDefault="0029210A" w:rsidP="00521114">
            <w:pPr>
              <w:pStyle w:val="TableText"/>
              <w:spacing w:before="120"/>
              <w:rPr>
                <w:b/>
                <w:sz w:val="22"/>
                <w:szCs w:val="22"/>
              </w:rPr>
            </w:pPr>
            <w:r w:rsidRPr="00AB3864">
              <w:rPr>
                <w:b/>
                <w:sz w:val="22"/>
                <w:szCs w:val="22"/>
              </w:rPr>
              <w:t xml:space="preserve">Action: </w:t>
            </w:r>
            <w:r w:rsidR="00521114" w:rsidRPr="00521114">
              <w:rPr>
                <w:sz w:val="22"/>
                <w:szCs w:val="22"/>
              </w:rPr>
              <w:t>Increase participation in organised sport groups and clubs, particularly for those groups not currently engaged</w:t>
            </w:r>
          </w:p>
        </w:tc>
      </w:tr>
      <w:tr w:rsidR="0029210A" w14:paraId="057AD669" w14:textId="77777777" w:rsidTr="00521114">
        <w:trPr>
          <w:cantSplit/>
        </w:trPr>
        <w:tc>
          <w:tcPr>
            <w:tcW w:w="4040" w:type="dxa"/>
            <w:tcBorders>
              <w:top w:val="nil"/>
              <w:bottom w:val="single" w:sz="8" w:space="0" w:color="22B893"/>
              <w:right w:val="dashed" w:sz="4" w:space="0" w:color="22B893"/>
            </w:tcBorders>
          </w:tcPr>
          <w:p w14:paraId="461945CB" w14:textId="77777777" w:rsidR="0029210A" w:rsidRPr="00AB3864" w:rsidRDefault="0029210A" w:rsidP="00AB11A2">
            <w:pPr>
              <w:pStyle w:val="TableText"/>
              <w:ind w:right="142"/>
              <w:rPr>
                <w:sz w:val="20"/>
              </w:rPr>
            </w:pPr>
            <w:r w:rsidRPr="00AB3864">
              <w:rPr>
                <w:sz w:val="20"/>
              </w:rPr>
              <w:t>What is the evidence?</w:t>
            </w:r>
          </w:p>
          <w:p w14:paraId="52975370" w14:textId="77777777" w:rsidR="00521114" w:rsidRPr="00C000B2" w:rsidRDefault="00521114" w:rsidP="00521114">
            <w:pPr>
              <w:pStyle w:val="TableText"/>
              <w:ind w:right="113"/>
            </w:pPr>
            <w:r w:rsidRPr="00C000B2">
              <w:t>Sport-related interventions are effective and cost-effective at increasing population levels of physical activity across the life course.</w:t>
            </w:r>
            <w:r w:rsidRPr="00521114">
              <w:rPr>
                <w:vertAlign w:val="superscript"/>
              </w:rPr>
              <w:t>146</w:t>
            </w:r>
          </w:p>
          <w:p w14:paraId="1268CF99" w14:textId="77777777" w:rsidR="00521114" w:rsidRPr="00C000B2" w:rsidRDefault="00521114" w:rsidP="00521114">
            <w:pPr>
              <w:pStyle w:val="TableText"/>
              <w:ind w:right="113"/>
            </w:pPr>
            <w:r w:rsidRPr="00C000B2">
              <w:t xml:space="preserve">Children who participate in youth sports have higher levels of physical activity than those who </w:t>
            </w:r>
            <w:proofErr w:type="gramStart"/>
            <w:r w:rsidRPr="00C000B2">
              <w:t>don’t</w:t>
            </w:r>
            <w:proofErr w:type="gramEnd"/>
            <w:r w:rsidRPr="00C000B2">
              <w:t xml:space="preserve"> and these higher levels of participation may persist for many years, including into</w:t>
            </w:r>
            <w:r>
              <w:t xml:space="preserve"> </w:t>
            </w:r>
            <w:r w:rsidRPr="00C000B2">
              <w:t>adulthood.</w:t>
            </w:r>
            <w:r w:rsidRPr="00521114">
              <w:rPr>
                <w:vertAlign w:val="superscript"/>
              </w:rPr>
              <w:t>304, 308</w:t>
            </w:r>
            <w:r w:rsidRPr="00C000B2">
              <w:t xml:space="preserve"> In Aotearoa, participation in organised sports and activities peaks at age 12–14 years and then declines steeply between 15 and 17 years.</w:t>
            </w:r>
            <w:r w:rsidRPr="00521114">
              <w:rPr>
                <w:vertAlign w:val="superscript"/>
              </w:rPr>
              <w:t>269</w:t>
            </w:r>
          </w:p>
          <w:p w14:paraId="59F0E73D" w14:textId="77777777" w:rsidR="00521114" w:rsidRPr="00C000B2" w:rsidRDefault="00521114" w:rsidP="00521114">
            <w:pPr>
              <w:pStyle w:val="TableText"/>
              <w:ind w:right="113"/>
            </w:pPr>
            <w:r w:rsidRPr="00C000B2">
              <w:t>Sport interventions targeting inactive individuals or groups are associated with increased physical activity levels.</w:t>
            </w:r>
            <w:r w:rsidRPr="00521114">
              <w:rPr>
                <w:vertAlign w:val="superscript"/>
              </w:rPr>
              <w:t>309</w:t>
            </w:r>
          </w:p>
          <w:p w14:paraId="09E3F404" w14:textId="77777777" w:rsidR="0029210A" w:rsidRDefault="00521114" w:rsidP="00521114">
            <w:pPr>
              <w:pStyle w:val="TableText"/>
              <w:ind w:right="113"/>
            </w:pPr>
            <w:r w:rsidRPr="00C000B2">
              <w:t>Having culturally specific recreational activities and sport is critical for engaging Māori and Pacific peoples.</w:t>
            </w:r>
            <w:r w:rsidRPr="00521114">
              <w:rPr>
                <w:vertAlign w:val="superscript"/>
              </w:rPr>
              <w:t>310</w:t>
            </w:r>
            <w:r w:rsidRPr="00C000B2">
              <w:t xml:space="preserve"> For example, participation in waka ama as a sport has grown in Aotearoa, with a 34 percent increase in the number of clubs over five years.</w:t>
            </w:r>
            <w:r w:rsidRPr="00521114">
              <w:rPr>
                <w:vertAlign w:val="superscript"/>
              </w:rPr>
              <w:t>311</w:t>
            </w:r>
          </w:p>
        </w:tc>
        <w:tc>
          <w:tcPr>
            <w:tcW w:w="4040" w:type="dxa"/>
            <w:tcBorders>
              <w:top w:val="nil"/>
              <w:left w:val="dashed" w:sz="4" w:space="0" w:color="22B893"/>
              <w:bottom w:val="single" w:sz="8" w:space="0" w:color="22B893"/>
            </w:tcBorders>
          </w:tcPr>
          <w:p w14:paraId="091503AA" w14:textId="77777777" w:rsidR="0029210A" w:rsidRPr="00AB3864" w:rsidRDefault="0029210A" w:rsidP="00AB11A2">
            <w:pPr>
              <w:pStyle w:val="TableText"/>
              <w:ind w:left="113"/>
              <w:rPr>
                <w:sz w:val="20"/>
              </w:rPr>
            </w:pPr>
            <w:r w:rsidRPr="00AB3864">
              <w:rPr>
                <w:sz w:val="20"/>
              </w:rPr>
              <w:t>What is Aotearoa doing currently?</w:t>
            </w:r>
          </w:p>
          <w:p w14:paraId="063A4BCE" w14:textId="77777777" w:rsidR="0029210A" w:rsidRDefault="00521114" w:rsidP="00521114">
            <w:pPr>
              <w:pStyle w:val="TableText"/>
              <w:ind w:left="113"/>
            </w:pPr>
            <w:r w:rsidRPr="00C000B2">
              <w:t>Sport New Zealand has a range of work under</w:t>
            </w:r>
            <w:r>
              <w:t xml:space="preserve"> </w:t>
            </w:r>
            <w:r w:rsidRPr="00C000B2">
              <w:t>way with a focus on youth sports. It is working with national sports organisations on a Balance</w:t>
            </w:r>
            <w:r>
              <w:t xml:space="preserve"> </w:t>
            </w:r>
            <w:r w:rsidRPr="00C000B2">
              <w:t xml:space="preserve">is Better campaign to support the culture change needed to provide quality sport opportunities for </w:t>
            </w:r>
            <w:proofErr w:type="spellStart"/>
            <w:r w:rsidRPr="00C000B2">
              <w:t>tamariki</w:t>
            </w:r>
            <w:proofErr w:type="spellEnd"/>
            <w:r w:rsidRPr="00C000B2">
              <w:t xml:space="preserve"> (5–11 years) and </w:t>
            </w:r>
            <w:proofErr w:type="spellStart"/>
            <w:r w:rsidRPr="00C000B2">
              <w:t>rangatahi</w:t>
            </w:r>
            <w:proofErr w:type="spellEnd"/>
            <w:r w:rsidRPr="00C000B2">
              <w:t xml:space="preserve"> (12–18 years).</w:t>
            </w:r>
          </w:p>
        </w:tc>
      </w:tr>
    </w:tbl>
    <w:p w14:paraId="548032F0" w14:textId="77777777" w:rsidR="00521114" w:rsidRDefault="00521114" w:rsidP="00521114">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521114" w14:paraId="2EF58390" w14:textId="77777777" w:rsidTr="00A15BFC">
        <w:trPr>
          <w:cantSplit/>
        </w:trPr>
        <w:tc>
          <w:tcPr>
            <w:tcW w:w="426" w:type="dxa"/>
            <w:tcBorders>
              <w:right w:val="single" w:sz="48" w:space="0" w:color="FFFFFF" w:themeColor="background1"/>
            </w:tcBorders>
            <w:shd w:val="clear" w:color="auto" w:fill="22B893"/>
          </w:tcPr>
          <w:p w14:paraId="552F1540" w14:textId="77777777" w:rsidR="00521114" w:rsidRDefault="00521114" w:rsidP="00A15BFC"/>
        </w:tc>
        <w:tc>
          <w:tcPr>
            <w:tcW w:w="7371" w:type="dxa"/>
          </w:tcPr>
          <w:p w14:paraId="0A4F1FF4" w14:textId="77777777" w:rsidR="00521114" w:rsidRPr="00521114" w:rsidRDefault="00521114" w:rsidP="00A15BFC">
            <w:pPr>
              <w:pStyle w:val="TableText"/>
              <w:rPr>
                <w:sz w:val="22"/>
                <w:szCs w:val="22"/>
              </w:rPr>
            </w:pPr>
            <w:r w:rsidRPr="0029210A">
              <w:rPr>
                <w:b/>
                <w:sz w:val="22"/>
                <w:szCs w:val="22"/>
              </w:rPr>
              <w:t xml:space="preserve">Focus area: </w:t>
            </w:r>
            <w:r w:rsidRPr="00521114">
              <w:rPr>
                <w:sz w:val="22"/>
                <w:szCs w:val="22"/>
              </w:rPr>
              <w:t>Support the health sector to deliver interventions to increase physical activity levels</w:t>
            </w:r>
          </w:p>
          <w:p w14:paraId="1889961B" w14:textId="77777777" w:rsidR="00521114" w:rsidRPr="00521114" w:rsidRDefault="00521114" w:rsidP="00521114">
            <w:pPr>
              <w:pStyle w:val="TableText"/>
              <w:rPr>
                <w:sz w:val="20"/>
              </w:rPr>
            </w:pPr>
            <w:r w:rsidRPr="00521114">
              <w:rPr>
                <w:sz w:val="20"/>
              </w:rPr>
              <w:t>What do we know about the impact of health sector interventions on physical activity levels?</w:t>
            </w:r>
          </w:p>
          <w:p w14:paraId="715041B4" w14:textId="77777777" w:rsidR="00521114" w:rsidRDefault="00521114" w:rsidP="00521114">
            <w:pPr>
              <w:pStyle w:val="TableText"/>
            </w:pPr>
            <w:r w:rsidRPr="00C000B2">
              <w:rPr>
                <w:noProof/>
                <w:lang w:eastAsia="en-NZ"/>
              </w:rPr>
              <mc:AlternateContent>
                <mc:Choice Requires="wps">
                  <w:drawing>
                    <wp:anchor distT="0" distB="0" distL="114300" distR="114300" simplePos="0" relativeHeight="252165120" behindDoc="1" locked="0" layoutInCell="1" allowOverlap="1" wp14:anchorId="2C599B1D" wp14:editId="76E9932C">
                      <wp:simplePos x="0" y="0"/>
                      <wp:positionH relativeFrom="page">
                        <wp:posOffset>3773805</wp:posOffset>
                      </wp:positionH>
                      <wp:positionV relativeFrom="paragraph">
                        <wp:posOffset>1269365</wp:posOffset>
                      </wp:positionV>
                      <wp:extent cx="12700" cy="12700"/>
                      <wp:effectExtent l="1905" t="0" r="4445" b="6350"/>
                      <wp:wrapNone/>
                      <wp:docPr id="625" name="Freeform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943 5943"/>
                                  <a:gd name="T1" fmla="*/ T0 w 20"/>
                                  <a:gd name="T2" fmla="+- 0 2009 1999"/>
                                  <a:gd name="T3" fmla="*/ 2009 h 20"/>
                                  <a:gd name="T4" fmla="+- 0 5946 5943"/>
                                  <a:gd name="T5" fmla="*/ T4 w 20"/>
                                  <a:gd name="T6" fmla="+- 0 2002 1999"/>
                                  <a:gd name="T7" fmla="*/ 2002 h 20"/>
                                  <a:gd name="T8" fmla="+- 0 5953 5943"/>
                                  <a:gd name="T9" fmla="*/ T8 w 20"/>
                                  <a:gd name="T10" fmla="+- 0 1999 1999"/>
                                  <a:gd name="T11" fmla="*/ 1999 h 20"/>
                                  <a:gd name="T12" fmla="+- 0 5960 5943"/>
                                  <a:gd name="T13" fmla="*/ T12 w 20"/>
                                  <a:gd name="T14" fmla="+- 0 2002 1999"/>
                                  <a:gd name="T15" fmla="*/ 2002 h 20"/>
                                  <a:gd name="T16" fmla="+- 0 5963 5943"/>
                                  <a:gd name="T17" fmla="*/ T16 w 20"/>
                                  <a:gd name="T18" fmla="+- 0 2009 1999"/>
                                  <a:gd name="T19" fmla="*/ 2009 h 20"/>
                                  <a:gd name="T20" fmla="+- 0 5960 5943"/>
                                  <a:gd name="T21" fmla="*/ T20 w 20"/>
                                  <a:gd name="T22" fmla="+- 0 2016 1999"/>
                                  <a:gd name="T23" fmla="*/ 2016 h 20"/>
                                  <a:gd name="T24" fmla="+- 0 5953 5943"/>
                                  <a:gd name="T25" fmla="*/ T24 w 20"/>
                                  <a:gd name="T26" fmla="+- 0 2019 1999"/>
                                  <a:gd name="T27" fmla="*/ 2019 h 20"/>
                                  <a:gd name="T28" fmla="+- 0 5946 5943"/>
                                  <a:gd name="T29" fmla="*/ T28 w 20"/>
                                  <a:gd name="T30" fmla="+- 0 2016 1999"/>
                                  <a:gd name="T31" fmla="*/ 2016 h 20"/>
                                  <a:gd name="T32" fmla="+- 0 5943 5943"/>
                                  <a:gd name="T33" fmla="*/ T32 w 20"/>
                                  <a:gd name="T34" fmla="+- 0 2009 1999"/>
                                  <a:gd name="T35" fmla="*/ 20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69C0" id="Freeform 625" o:spid="_x0000_s1026" alt="&quot;&quot;" style="position:absolute;margin-left:297.15pt;margin-top:99.95pt;width:1pt;height:1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" path="m,10l3,3,10,r7,3l20,10r-3,7l10,20,3,17,,10xe" fillcolor="#22b893" stroked="f">
                      <v:path arrowok="t" o:connecttype="custom" o:connectlocs="0,1275715;1905,1271270;6350,1269365;10795,1271270;12700,1275715;10795,1280160;6350,1282065;1905,1280160;0,1275715" o:connectangles="0,0,0,0,0,0,0,0,0"/>
                      <w10:wrap anchorx="page"/>
                    </v:shape>
                  </w:pict>
                </mc:Fallback>
              </mc:AlternateContent>
            </w:r>
            <w:r w:rsidRPr="00C000B2">
              <w:t>The health sector can be effective in supporting individuals and whānau to be more physically active and less sedentary. Health professionals are a trusted source of information, have skills and experience in supporting behavioural change in their patients</w:t>
            </w:r>
            <w:r w:rsidRPr="00521114">
              <w:rPr>
                <w:vertAlign w:val="superscript"/>
              </w:rPr>
              <w:t>274, 312</w:t>
            </w:r>
            <w:r w:rsidRPr="00C000B2">
              <w:t xml:space="preserve"> and engage with a high proportion of individuals in a community on a regular basis.</w:t>
            </w:r>
            <w:r w:rsidRPr="00521114">
              <w:rPr>
                <w:vertAlign w:val="superscript"/>
              </w:rPr>
              <w:t>275</w:t>
            </w:r>
          </w:p>
        </w:tc>
      </w:tr>
    </w:tbl>
    <w:p w14:paraId="1BC4F7D1" w14:textId="77777777" w:rsidR="00521114" w:rsidRDefault="00521114" w:rsidP="00521114">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0676C2F6" w14:textId="77777777" w:rsidTr="00AB11A2">
        <w:trPr>
          <w:cantSplit/>
        </w:trPr>
        <w:tc>
          <w:tcPr>
            <w:tcW w:w="8080" w:type="dxa"/>
            <w:gridSpan w:val="2"/>
            <w:tcBorders>
              <w:bottom w:val="nil"/>
            </w:tcBorders>
            <w:shd w:val="clear" w:color="auto" w:fill="D7EDE4"/>
          </w:tcPr>
          <w:p w14:paraId="6E63D1DB" w14:textId="77777777" w:rsidR="0029210A" w:rsidRPr="00AB3864" w:rsidRDefault="0029210A" w:rsidP="00521114">
            <w:pPr>
              <w:pStyle w:val="TableText"/>
              <w:spacing w:before="120"/>
              <w:rPr>
                <w:b/>
                <w:sz w:val="22"/>
                <w:szCs w:val="22"/>
              </w:rPr>
            </w:pPr>
            <w:r w:rsidRPr="00AB3864">
              <w:rPr>
                <w:b/>
                <w:sz w:val="22"/>
                <w:szCs w:val="22"/>
              </w:rPr>
              <w:t xml:space="preserve">Action: </w:t>
            </w:r>
            <w:r w:rsidR="003338B6" w:rsidRPr="003338B6">
              <w:rPr>
                <w:sz w:val="22"/>
                <w:szCs w:val="22"/>
              </w:rPr>
              <w:t>Increase access to physical activity counselling and linkages to community-based supports</w:t>
            </w:r>
          </w:p>
        </w:tc>
      </w:tr>
      <w:tr w:rsidR="0029210A" w14:paraId="098E9441" w14:textId="77777777" w:rsidTr="003338B6">
        <w:trPr>
          <w:cantSplit/>
        </w:trPr>
        <w:tc>
          <w:tcPr>
            <w:tcW w:w="4040" w:type="dxa"/>
            <w:tcBorders>
              <w:top w:val="nil"/>
              <w:bottom w:val="single" w:sz="8" w:space="0" w:color="22B893"/>
              <w:right w:val="dashed" w:sz="4" w:space="0" w:color="22B893"/>
            </w:tcBorders>
          </w:tcPr>
          <w:p w14:paraId="15220959" w14:textId="77777777" w:rsidR="0029210A" w:rsidRPr="00AB3864" w:rsidRDefault="0029210A" w:rsidP="00AB11A2">
            <w:pPr>
              <w:pStyle w:val="TableText"/>
              <w:ind w:right="142"/>
              <w:rPr>
                <w:sz w:val="20"/>
              </w:rPr>
            </w:pPr>
            <w:r w:rsidRPr="00AB3864">
              <w:rPr>
                <w:sz w:val="20"/>
              </w:rPr>
              <w:t>What is the evidence?</w:t>
            </w:r>
          </w:p>
          <w:p w14:paraId="55CD54BA" w14:textId="77777777" w:rsidR="003338B6" w:rsidRPr="00C000B2" w:rsidRDefault="003338B6" w:rsidP="003338B6">
            <w:pPr>
              <w:pStyle w:val="TableText"/>
              <w:ind w:right="113"/>
            </w:pPr>
            <w:r w:rsidRPr="00C000B2">
              <w:t>Brief interventions in primary care can increase short-</w:t>
            </w:r>
            <w:r>
              <w:t xml:space="preserve"> </w:t>
            </w:r>
            <w:r w:rsidRPr="00C000B2">
              <w:t>to medium-term self-reported physical activity,</w:t>
            </w:r>
            <w:r w:rsidRPr="003338B6">
              <w:rPr>
                <w:vertAlign w:val="superscript"/>
              </w:rPr>
              <w:t>312, 313</w:t>
            </w:r>
            <w:r w:rsidRPr="00C000B2">
              <w:t xml:space="preserve"> while follow-up sessions increase the effectiveness of these interventions.</w:t>
            </w:r>
            <w:r w:rsidRPr="003338B6">
              <w:rPr>
                <w:vertAlign w:val="superscript"/>
              </w:rPr>
              <w:t>312</w:t>
            </w:r>
            <w:r w:rsidRPr="00C000B2">
              <w:t xml:space="preserve"> Wearable devices (such as activity monitoring watches) may provide additional benefits in health care settings.</w:t>
            </w:r>
            <w:r w:rsidRPr="003338B6">
              <w:rPr>
                <w:vertAlign w:val="superscript"/>
              </w:rPr>
              <w:t>298</w:t>
            </w:r>
          </w:p>
          <w:p w14:paraId="413842A8" w14:textId="77777777" w:rsidR="0029210A" w:rsidRDefault="003338B6" w:rsidP="003338B6">
            <w:pPr>
              <w:pStyle w:val="TableText"/>
              <w:ind w:right="113"/>
            </w:pPr>
            <w:r w:rsidRPr="00C000B2">
              <w:t>In addition, brief interventions for physical activity in health care settings can be adapted to be culturally appropriate and are cost-effective for adults.</w:t>
            </w:r>
            <w:r w:rsidRPr="003338B6">
              <w:rPr>
                <w:vertAlign w:val="superscript"/>
              </w:rPr>
              <w:t>314, 315</w:t>
            </w:r>
          </w:p>
        </w:tc>
        <w:tc>
          <w:tcPr>
            <w:tcW w:w="4040" w:type="dxa"/>
            <w:tcBorders>
              <w:top w:val="nil"/>
              <w:left w:val="dashed" w:sz="4" w:space="0" w:color="22B893"/>
              <w:bottom w:val="single" w:sz="8" w:space="0" w:color="22B893"/>
            </w:tcBorders>
          </w:tcPr>
          <w:p w14:paraId="2661EDC4" w14:textId="77777777" w:rsidR="0029210A" w:rsidRPr="00AB3864" w:rsidRDefault="0029210A" w:rsidP="00AB11A2">
            <w:pPr>
              <w:pStyle w:val="TableText"/>
              <w:ind w:left="113"/>
              <w:rPr>
                <w:sz w:val="20"/>
              </w:rPr>
            </w:pPr>
            <w:r w:rsidRPr="00AB3864">
              <w:rPr>
                <w:sz w:val="20"/>
              </w:rPr>
              <w:t>What is Aotearoa doing currently?</w:t>
            </w:r>
          </w:p>
          <w:p w14:paraId="15EB3DAA" w14:textId="77777777" w:rsidR="003338B6" w:rsidRPr="00C000B2" w:rsidRDefault="003338B6" w:rsidP="003338B6">
            <w:pPr>
              <w:pStyle w:val="TableText"/>
              <w:ind w:left="113"/>
            </w:pPr>
            <w:r w:rsidRPr="00C000B2">
              <w:t>Currently, health professionals can refer adults, children and whānau (who meet certain criteria) to community-based programmes for nutrition</w:t>
            </w:r>
            <w:r>
              <w:t xml:space="preserve"> </w:t>
            </w:r>
            <w:r w:rsidRPr="00C000B2">
              <w:t>and physical activity support, either through Green Prescriptions</w:t>
            </w:r>
            <w:r w:rsidRPr="003338B6">
              <w:rPr>
                <w:vertAlign w:val="superscript"/>
              </w:rPr>
              <w:t>316</w:t>
            </w:r>
            <w:r w:rsidRPr="00C000B2">
              <w:t xml:space="preserve"> or Active Families.</w:t>
            </w:r>
            <w:r w:rsidRPr="003338B6">
              <w:rPr>
                <w:vertAlign w:val="superscript"/>
              </w:rPr>
              <w:t>317</w:t>
            </w:r>
          </w:p>
          <w:p w14:paraId="7CA964D7" w14:textId="77777777" w:rsidR="0029210A" w:rsidRDefault="003338B6" w:rsidP="003338B6">
            <w:pPr>
              <w:pStyle w:val="TableText"/>
              <w:ind w:left="113"/>
            </w:pPr>
            <w:r w:rsidRPr="00C000B2">
              <w:t>In 2018, more than 85 percent of families participating in the Active Families programme reported improvements in their diet and physical activity.</w:t>
            </w:r>
            <w:r w:rsidRPr="003338B6">
              <w:rPr>
                <w:vertAlign w:val="superscript"/>
              </w:rPr>
              <w:t>317</w:t>
            </w:r>
            <w:r w:rsidRPr="00C000B2">
              <w:t xml:space="preserve"> Participants in the Green Prescription programme have reported more regular physical activity up to three years after completing the programme.</w:t>
            </w:r>
            <w:r w:rsidRPr="003338B6">
              <w:rPr>
                <w:vertAlign w:val="superscript"/>
              </w:rPr>
              <w:t>313</w:t>
            </w:r>
          </w:p>
        </w:tc>
      </w:tr>
    </w:tbl>
    <w:p w14:paraId="3DDA36BD" w14:textId="77777777" w:rsidR="0029210A" w:rsidRPr="0029210A" w:rsidRDefault="0029210A" w:rsidP="003338B6">
      <w:pPr>
        <w:spacing w:after="240"/>
      </w:pPr>
    </w:p>
    <w:p w14:paraId="7772C22E" w14:textId="77777777" w:rsidR="00EF27EC" w:rsidRPr="00C000B2" w:rsidRDefault="00EF27EC" w:rsidP="003338B6">
      <w:r w:rsidRPr="00C000B2">
        <w:rPr>
          <w:noProof/>
          <w:lang w:eastAsia="en-NZ"/>
        </w:rPr>
        <mc:AlternateContent>
          <mc:Choice Requires="wps">
            <w:drawing>
              <wp:anchor distT="0" distB="0" distL="114300" distR="114300" simplePos="0" relativeHeight="252091392" behindDoc="1" locked="0" layoutInCell="1" allowOverlap="1" wp14:anchorId="19207920" wp14:editId="79BFEFC0">
                <wp:simplePos x="0" y="0"/>
                <wp:positionH relativeFrom="page">
                  <wp:posOffset>3773805</wp:posOffset>
                </wp:positionH>
                <wp:positionV relativeFrom="paragraph">
                  <wp:posOffset>-24765</wp:posOffset>
                </wp:positionV>
                <wp:extent cx="12700" cy="12700"/>
                <wp:effectExtent l="1905" t="8255" r="4445" b="7620"/>
                <wp:wrapNone/>
                <wp:docPr id="624" name="Freeform 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943 5943"/>
                            <a:gd name="T1" fmla="*/ T0 w 20"/>
                            <a:gd name="T2" fmla="+- 0 -29 -39"/>
                            <a:gd name="T3" fmla="*/ -29 h 20"/>
                            <a:gd name="T4" fmla="+- 0 5946 5943"/>
                            <a:gd name="T5" fmla="*/ T4 w 20"/>
                            <a:gd name="T6" fmla="+- 0 -36 -39"/>
                            <a:gd name="T7" fmla="*/ -36 h 20"/>
                            <a:gd name="T8" fmla="+- 0 5953 5943"/>
                            <a:gd name="T9" fmla="*/ T8 w 20"/>
                            <a:gd name="T10" fmla="+- 0 -39 -39"/>
                            <a:gd name="T11" fmla="*/ -39 h 20"/>
                            <a:gd name="T12" fmla="+- 0 5960 5943"/>
                            <a:gd name="T13" fmla="*/ T12 w 20"/>
                            <a:gd name="T14" fmla="+- 0 -36 -39"/>
                            <a:gd name="T15" fmla="*/ -36 h 20"/>
                            <a:gd name="T16" fmla="+- 0 5963 5943"/>
                            <a:gd name="T17" fmla="*/ T16 w 20"/>
                            <a:gd name="T18" fmla="+- 0 -29 -39"/>
                            <a:gd name="T19" fmla="*/ -29 h 20"/>
                            <a:gd name="T20" fmla="+- 0 5960 5943"/>
                            <a:gd name="T21" fmla="*/ T20 w 20"/>
                            <a:gd name="T22" fmla="+- 0 -22 -39"/>
                            <a:gd name="T23" fmla="*/ -22 h 20"/>
                            <a:gd name="T24" fmla="+- 0 5953 5943"/>
                            <a:gd name="T25" fmla="*/ T24 w 20"/>
                            <a:gd name="T26" fmla="+- 0 -19 -39"/>
                            <a:gd name="T27" fmla="*/ -19 h 20"/>
                            <a:gd name="T28" fmla="+- 0 5946 5943"/>
                            <a:gd name="T29" fmla="*/ T28 w 20"/>
                            <a:gd name="T30" fmla="+- 0 -22 -39"/>
                            <a:gd name="T31" fmla="*/ -22 h 20"/>
                            <a:gd name="T32" fmla="+- 0 5943 5943"/>
                            <a:gd name="T33" fmla="*/ T32 w 20"/>
                            <a:gd name="T34" fmla="+- 0 -29 -39"/>
                            <a:gd name="T35" fmla="*/ -2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7147" id="Freeform 624" o:spid="_x0000_s1026" alt="&quot;&quot;" style="position:absolute;margin-left:297.15pt;margin-top:-1.95pt;width:1pt;height:1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" path="m,10l3,3,10,r7,3l20,10r-3,7l10,20,3,17,,10xe" fillcolor="#22b893" stroked="f">
                <v:path arrowok="t" o:connecttype="custom" o:connectlocs="0,-18415;1905,-22860;6350,-24765;10795,-22860;12700,-18415;10795,-13970;6350,-12065;1905,-13970;0,-18415" o:connectangles="0,0,0,0,0,0,0,0,0"/>
                <w10:wrap anchorx="page"/>
              </v:shape>
            </w:pict>
          </mc:Fallback>
        </mc:AlternateContent>
      </w:r>
      <w:r w:rsidRPr="00C000B2">
        <w:t xml:space="preserve">The options discussed above are focused on creating environments and settings where being physically active is part of everyday life. Reducing the burden of cancers related to physical inactivity requires comprehensive and coordinated action across multiple sectors including local government, transport, health, </w:t>
      </w:r>
      <w:proofErr w:type="gramStart"/>
      <w:r w:rsidRPr="00C000B2">
        <w:t>education</w:t>
      </w:r>
      <w:proofErr w:type="gramEnd"/>
      <w:r w:rsidRPr="00C000B2">
        <w:t xml:space="preserve"> and employment. To be effective, interventions should include a focus on active transport, incidental physical </w:t>
      </w:r>
      <w:proofErr w:type="gramStart"/>
      <w:r w:rsidRPr="00C000B2">
        <w:t>activity</w:t>
      </w:r>
      <w:proofErr w:type="gramEnd"/>
      <w:r w:rsidRPr="00C000B2">
        <w:t xml:space="preserve"> and urban design, rather than focusing only on increasing participation in organised sport. Regular monitoring and evaluation of the effectiveness of any interventions will allow for continuous improvement, and ensure Aotearoa is doing all it can to prevent cancers related to physical inactivity.</w:t>
      </w:r>
    </w:p>
    <w:p w14:paraId="08905088" w14:textId="77777777" w:rsidR="00EF27EC" w:rsidRPr="00C000B2" w:rsidRDefault="00EF27EC" w:rsidP="003338B6"/>
    <w:p w14:paraId="236E2196" w14:textId="77777777" w:rsidR="00EF27EC" w:rsidRPr="00C000B2" w:rsidRDefault="00DC5A55" w:rsidP="00DC5A55">
      <w:pPr>
        <w:pStyle w:val="Heading1"/>
        <w:ind w:right="-851"/>
      </w:pPr>
      <w:bookmarkStart w:id="168" w:name="Te_ārai_mate_pukupuku_mō_pānga_o_te_hihi"/>
      <w:bookmarkStart w:id="169" w:name="What_is_the_connection_between_ultraviol"/>
      <w:bookmarkStart w:id="170" w:name="_bookmark30"/>
      <w:bookmarkStart w:id="171" w:name="_Toc95742664"/>
      <w:bookmarkEnd w:id="168"/>
      <w:bookmarkEnd w:id="169"/>
      <w:bookmarkEnd w:id="170"/>
      <w:r w:rsidRPr="00C000B2">
        <w:lastRenderedPageBreak/>
        <w:t>Te Ārai Mate Pukupuku Mō Pānga O Te Hihi Kōmaru</w:t>
      </w:r>
      <w:r>
        <w:br/>
      </w:r>
      <w:r w:rsidRPr="00DC5A55">
        <w:rPr>
          <w:color w:val="22B893"/>
        </w:rPr>
        <w:t>Preventing cancers related to excessive exposure to ultraviolet radiation</w:t>
      </w:r>
      <w:bookmarkEnd w:id="171"/>
    </w:p>
    <w:p w14:paraId="530B4977" w14:textId="77777777" w:rsidR="00EF27EC" w:rsidRPr="00C000B2" w:rsidRDefault="00EF27EC" w:rsidP="00DC5A55">
      <w:pPr>
        <w:pStyle w:val="Heading2"/>
      </w:pPr>
      <w:bookmarkStart w:id="172" w:name="_Toc95742665"/>
      <w:r w:rsidRPr="00C000B2">
        <w:t>What is the connection between ultraviolet radiation and cancer?</w:t>
      </w:r>
      <w:bookmarkEnd w:id="172"/>
    </w:p>
    <w:p w14:paraId="730E2921" w14:textId="77777777" w:rsidR="00EF27EC" w:rsidRPr="00C000B2" w:rsidRDefault="00EF27EC" w:rsidP="00DC5A55">
      <w:r w:rsidRPr="00C000B2">
        <w:t>Skin cancers are the most commonly diagnosed cancers in Aotearoa. Ultraviolet (UV) radiation, either from the sun or from sunbeds, causes 90 percent of all skin cancers.</w:t>
      </w:r>
      <w:r w:rsidRPr="00DC5A55">
        <w:rPr>
          <w:vertAlign w:val="superscript"/>
        </w:rPr>
        <w:t>318</w:t>
      </w:r>
      <w:r w:rsidRPr="00C000B2">
        <w:t xml:space="preserve"> The risk of developing skin cancer increases with the number and severity of sunburn episodes (at any age) and with higher cumulative exposure to UV radiation.</w:t>
      </w:r>
      <w:r w:rsidRPr="00DC5A55">
        <w:rPr>
          <w:vertAlign w:val="superscript"/>
        </w:rPr>
        <w:t>319,</w:t>
      </w:r>
      <w:r w:rsidR="00DC5A55" w:rsidRPr="00DC5A55">
        <w:rPr>
          <w:vertAlign w:val="superscript"/>
        </w:rPr>
        <w:t> </w:t>
      </w:r>
      <w:r w:rsidRPr="00DC5A55">
        <w:rPr>
          <w:vertAlign w:val="superscript"/>
        </w:rPr>
        <w:t>320</w:t>
      </w:r>
    </w:p>
    <w:p w14:paraId="014CBB19" w14:textId="77777777" w:rsidR="00EF27EC" w:rsidRPr="00C000B2" w:rsidRDefault="00EF27EC" w:rsidP="00DC5A55"/>
    <w:p w14:paraId="77B254F7" w14:textId="77777777" w:rsidR="00EF27EC" w:rsidRPr="00C000B2" w:rsidRDefault="00EF27EC" w:rsidP="00DC5A55">
      <w:r w:rsidRPr="00C000B2">
        <w:t xml:space="preserve">The two main categories of skin cancer are melanoma and </w:t>
      </w:r>
      <w:proofErr w:type="spellStart"/>
      <w:r w:rsidRPr="00C000B2">
        <w:t>keratinocytic</w:t>
      </w:r>
      <w:proofErr w:type="spellEnd"/>
      <w:r w:rsidRPr="00C000B2">
        <w:t xml:space="preserve"> (basal cell and squamous cell) cancer. Melanoma is less common than </w:t>
      </w:r>
      <w:proofErr w:type="spellStart"/>
      <w:r w:rsidRPr="00C000B2">
        <w:t>keratinocytic</w:t>
      </w:r>
      <w:proofErr w:type="spellEnd"/>
      <w:r w:rsidRPr="00C000B2">
        <w:t xml:space="preserve"> cancer but is more likely to result in death.</w:t>
      </w:r>
    </w:p>
    <w:p w14:paraId="0F72925A" w14:textId="77777777" w:rsidR="00EF27EC" w:rsidRPr="00C000B2" w:rsidRDefault="00EF27EC" w:rsidP="00DC5A55"/>
    <w:p w14:paraId="3965470F" w14:textId="77777777" w:rsidR="00EF27EC" w:rsidRPr="00C000B2" w:rsidRDefault="00EF27EC" w:rsidP="00DC5A55">
      <w:r w:rsidRPr="00C000B2">
        <w:t>In 2018, 2,738 New Zealanders were diagnosed with melanoma, including 51 Māori, and there were 310 deaths.</w:t>
      </w:r>
      <w:r w:rsidRPr="00DC5A55">
        <w:rPr>
          <w:vertAlign w:val="superscript"/>
        </w:rPr>
        <w:t>2</w:t>
      </w:r>
      <w:r w:rsidRPr="00C000B2">
        <w:t xml:space="preserve"> It is estimated that over 90,000 New Zealanders are diagnosed with </w:t>
      </w:r>
      <w:proofErr w:type="spellStart"/>
      <w:r w:rsidRPr="00C000B2">
        <w:t>keratinocytic</w:t>
      </w:r>
      <w:proofErr w:type="spellEnd"/>
      <w:r w:rsidRPr="00C000B2">
        <w:t xml:space="preserve"> skin cancer each year.</w:t>
      </w:r>
      <w:r w:rsidRPr="00DC5A55">
        <w:rPr>
          <w:vertAlign w:val="superscript"/>
        </w:rPr>
        <w:t>321</w:t>
      </w:r>
      <w:r w:rsidR="00DC5A55" w:rsidRPr="00DC5A55">
        <w:rPr>
          <w:vertAlign w:val="superscript"/>
        </w:rPr>
        <w:t>–</w:t>
      </w:r>
      <w:r w:rsidRPr="00DC5A55">
        <w:rPr>
          <w:vertAlign w:val="superscript"/>
        </w:rPr>
        <w:t>323</w:t>
      </w:r>
      <w:r w:rsidRPr="00C000B2">
        <w:t xml:space="preserve"> The figure for </w:t>
      </w:r>
      <w:proofErr w:type="spellStart"/>
      <w:r w:rsidRPr="00C000B2">
        <w:t>keratinocytic</w:t>
      </w:r>
      <w:proofErr w:type="spellEnd"/>
      <w:r w:rsidRPr="00C000B2">
        <w:t xml:space="preserve"> skin cancer is an estimate because cases of these cancers are not recorded on the New Zealand Cancer Registry. What is known, however, is that the incidence of melanoma among our young people is 37</w:t>
      </w:r>
      <w:r w:rsidR="00DC5A55">
        <w:t> </w:t>
      </w:r>
      <w:r w:rsidRPr="00C000B2">
        <w:t>percent lower than it was a decade ago, which is likely due to successful public health campaigns around SunSmart practices and early warning signs.</w:t>
      </w:r>
      <w:r w:rsidRPr="00DC5A55">
        <w:rPr>
          <w:vertAlign w:val="superscript"/>
        </w:rPr>
        <w:t>324,</w:t>
      </w:r>
      <w:r w:rsidR="00DC5A55" w:rsidRPr="00DC5A55">
        <w:rPr>
          <w:vertAlign w:val="superscript"/>
        </w:rPr>
        <w:t> </w:t>
      </w:r>
      <w:r w:rsidRPr="00DC5A55">
        <w:rPr>
          <w:vertAlign w:val="superscript"/>
        </w:rPr>
        <w:t>325</w:t>
      </w:r>
      <w:r w:rsidRPr="00C000B2">
        <w:t xml:space="preserve"> The number of cases of skin cancer is projected to increase due to population ageing and ongoing exposure to high levels of UV radiation.</w:t>
      </w:r>
    </w:p>
    <w:p w14:paraId="7D63E569" w14:textId="77777777" w:rsidR="00EF27EC" w:rsidRDefault="00EF27EC" w:rsidP="00DC5A55"/>
    <w:p w14:paraId="7C64DA9D" w14:textId="77777777" w:rsidR="00DC5A55" w:rsidRDefault="00DC5A55" w:rsidP="00DC5A55">
      <w:r>
        <w:rPr>
          <w:noProof/>
          <w:lang w:eastAsia="en-NZ"/>
        </w:rPr>
        <w:lastRenderedPageBreak/>
        <w:drawing>
          <wp:inline distT="0" distB="0" distL="0" distR="0" wp14:anchorId="034AE46F" wp14:editId="1391496E">
            <wp:extent cx="5130165" cy="1739104"/>
            <wp:effectExtent l="0" t="0" r="0" b="0"/>
            <wp:docPr id="1698" name="Picture 1698" descr="Aotearoa has one of the highest rates of melanoma in the world. 2,738 New Zealanders were diagnosed with melanoma in 2018, including 51 Māor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Picture 1698" descr="Aotearoa has one of the highest rates of melanoma in the world. 2,738 New Zealanders were diagnosed with melanoma in 2018, including 51 Māori.">
                      <a:extLst>
                        <a:ext uri="{C183D7F6-B498-43B3-948B-1728B52AA6E4}">
                          <adec:decorative xmlns:adec="http://schemas.microsoft.com/office/drawing/2017/decorative" val="0"/>
                        </a:ext>
                      </a:extLst>
                    </pic:cNvPr>
                    <pic:cNvPicPr/>
                  </pic:nvPicPr>
                  <pic:blipFill>
                    <a:blip r:embed="rId59"/>
                    <a:stretch>
                      <a:fillRect/>
                    </a:stretch>
                  </pic:blipFill>
                  <pic:spPr>
                    <a:xfrm>
                      <a:off x="0" y="0"/>
                      <a:ext cx="5130165" cy="1739104"/>
                    </a:xfrm>
                    <a:prstGeom prst="rect">
                      <a:avLst/>
                    </a:prstGeom>
                  </pic:spPr>
                </pic:pic>
              </a:graphicData>
            </a:graphic>
          </wp:inline>
        </w:drawing>
      </w:r>
    </w:p>
    <w:p w14:paraId="4423A169" w14:textId="77777777" w:rsidR="00EF27EC" w:rsidRPr="00C000B2" w:rsidRDefault="00EF27EC" w:rsidP="00DC5A55">
      <w:pPr>
        <w:spacing w:after="240"/>
      </w:pPr>
    </w:p>
    <w:p w14:paraId="25F41409" w14:textId="77777777" w:rsidR="00EF27EC" w:rsidRPr="00C000B2" w:rsidRDefault="00DC5A55" w:rsidP="00DC5A55">
      <w:bookmarkStart w:id="173" w:name="How_big_is_the_problem_of_exposure_to_UV"/>
      <w:bookmarkStart w:id="174" w:name="Figure_28:_SunSmart_messaging332_"/>
      <w:bookmarkStart w:id="175" w:name="Table_3:_Peak_ultraviolet_index_in_Aotea"/>
      <w:bookmarkStart w:id="176" w:name="_bookmark31"/>
      <w:bookmarkEnd w:id="173"/>
      <w:bookmarkEnd w:id="174"/>
      <w:bookmarkEnd w:id="175"/>
      <w:bookmarkEnd w:id="176"/>
      <w:r>
        <w:t>Sk</w:t>
      </w:r>
      <w:r w:rsidR="00EF27EC" w:rsidRPr="00C000B2">
        <w:t>in cancer is more common in those of European ethnicity and the mortality rate is higher for men than for women.</w:t>
      </w:r>
      <w:r w:rsidR="00EF27EC" w:rsidRPr="00DC5A55">
        <w:rPr>
          <w:vertAlign w:val="superscript"/>
        </w:rPr>
        <w:t>322</w:t>
      </w:r>
      <w:r w:rsidR="00EF27EC" w:rsidRPr="00C000B2">
        <w:t xml:space="preserve"> Melanoma incidence and mortality are substantially lower among Māori and Pacific peoples than among those of European ethnicity.</w:t>
      </w:r>
      <w:r w:rsidR="00EF27EC" w:rsidRPr="00DC5A55">
        <w:rPr>
          <w:vertAlign w:val="superscript"/>
        </w:rPr>
        <w:t>7</w:t>
      </w:r>
    </w:p>
    <w:p w14:paraId="1FB15D69" w14:textId="77777777" w:rsidR="00EF27EC" w:rsidRDefault="00EF27EC" w:rsidP="00DC5A55">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DC5A55" w14:paraId="2A86F9C0" w14:textId="77777777" w:rsidTr="00DC5A55">
        <w:trPr>
          <w:cantSplit/>
        </w:trPr>
        <w:tc>
          <w:tcPr>
            <w:tcW w:w="426" w:type="dxa"/>
            <w:tcBorders>
              <w:right w:val="single" w:sz="48" w:space="0" w:color="FFFFFF" w:themeColor="background1"/>
            </w:tcBorders>
            <w:shd w:val="clear" w:color="auto" w:fill="F37973"/>
          </w:tcPr>
          <w:p w14:paraId="72594B33" w14:textId="77777777" w:rsidR="00DC5A55" w:rsidRDefault="00DC5A55" w:rsidP="00A15BFC"/>
        </w:tc>
        <w:tc>
          <w:tcPr>
            <w:tcW w:w="7371" w:type="dxa"/>
          </w:tcPr>
          <w:p w14:paraId="66A6DD5C" w14:textId="77777777" w:rsidR="00DC5A55" w:rsidRDefault="00DC5A55" w:rsidP="00A15BFC">
            <w:pPr>
              <w:pStyle w:val="TableText"/>
            </w:pPr>
            <w:r w:rsidRPr="00C000B2">
              <w:t xml:space="preserve">However, Māori and Pacific peoples who are affected have a </w:t>
            </w:r>
            <w:proofErr w:type="gramStart"/>
            <w:r w:rsidRPr="00C000B2">
              <w:t>higher than expected</w:t>
            </w:r>
            <w:proofErr w:type="gramEnd"/>
            <w:r w:rsidRPr="00C000B2">
              <w:t xml:space="preserve"> risk of more advanced melanoma, with poorer prognosis.</w:t>
            </w:r>
            <w:r w:rsidRPr="00DC5A55">
              <w:rPr>
                <w:vertAlign w:val="superscript"/>
              </w:rPr>
              <w:t>3, 326</w:t>
            </w:r>
          </w:p>
        </w:tc>
      </w:tr>
    </w:tbl>
    <w:p w14:paraId="172800BC" w14:textId="77777777" w:rsidR="00EF27EC" w:rsidRPr="00C000B2" w:rsidRDefault="00EF27EC" w:rsidP="00DC5A55">
      <w:pPr>
        <w:spacing w:after="240"/>
      </w:pPr>
    </w:p>
    <w:p w14:paraId="74B0F8CC" w14:textId="77777777" w:rsidR="00EF27EC" w:rsidRPr="00DC5A55" w:rsidRDefault="00EF27EC" w:rsidP="00DC5A55">
      <w:pPr>
        <w:ind w:right="-142"/>
        <w:rPr>
          <w:spacing w:val="-2"/>
        </w:rPr>
      </w:pPr>
      <w:r w:rsidRPr="00DC5A55">
        <w:rPr>
          <w:spacing w:val="-2"/>
        </w:rPr>
        <w:t>In 2007 the annual direct health care costs of treating skin cancer in Aotearoa were an estimated</w:t>
      </w:r>
      <w:r w:rsidR="00DC5A55" w:rsidRPr="00DC5A55">
        <w:rPr>
          <w:spacing w:val="-2"/>
        </w:rPr>
        <w:t xml:space="preserve"> </w:t>
      </w:r>
      <w:r w:rsidRPr="00DC5A55">
        <w:rPr>
          <w:spacing w:val="-2"/>
        </w:rPr>
        <w:t>$NZ123.10 million, equivalent to $NZ1,785 per case.</w:t>
      </w:r>
      <w:r w:rsidRPr="00DC5A55">
        <w:rPr>
          <w:spacing w:val="-2"/>
          <w:vertAlign w:val="superscript"/>
        </w:rPr>
        <w:t>327</w:t>
      </w:r>
      <w:r w:rsidRPr="00DC5A55">
        <w:rPr>
          <w:spacing w:val="-2"/>
        </w:rPr>
        <w:t xml:space="preserve"> The direct health care costs are substantially higher for </w:t>
      </w:r>
      <w:proofErr w:type="spellStart"/>
      <w:r w:rsidRPr="00DC5A55">
        <w:rPr>
          <w:spacing w:val="-2"/>
        </w:rPr>
        <w:t>keratinocytic</w:t>
      </w:r>
      <w:proofErr w:type="spellEnd"/>
      <w:r w:rsidRPr="00DC5A55">
        <w:rPr>
          <w:spacing w:val="-2"/>
        </w:rPr>
        <w:t xml:space="preserve"> skin cancers due to the higher number of cases.</w:t>
      </w:r>
      <w:r w:rsidRPr="00DC5A55">
        <w:rPr>
          <w:spacing w:val="-2"/>
          <w:vertAlign w:val="superscript"/>
        </w:rPr>
        <w:t>328</w:t>
      </w:r>
    </w:p>
    <w:p w14:paraId="44459568" w14:textId="77777777" w:rsidR="00EF27EC" w:rsidRPr="00C000B2" w:rsidRDefault="00EF27EC" w:rsidP="00DC5A55"/>
    <w:p w14:paraId="3C8194D1" w14:textId="77777777" w:rsidR="00EF27EC" w:rsidRPr="00C000B2" w:rsidRDefault="00EF27EC" w:rsidP="00DC5A55">
      <w:pPr>
        <w:pStyle w:val="Heading2"/>
        <w:ind w:right="-567"/>
      </w:pPr>
      <w:bookmarkStart w:id="177" w:name="_Toc95742666"/>
      <w:r w:rsidRPr="00C000B2">
        <w:t>How big is the problem of excessive exposure to ultraviolet radiation in Aotearoa?</w:t>
      </w:r>
      <w:bookmarkEnd w:id="177"/>
    </w:p>
    <w:p w14:paraId="5236EE31" w14:textId="77777777" w:rsidR="00EF27EC" w:rsidRDefault="00EF27EC" w:rsidP="00DC5A55">
      <w:r w:rsidRPr="00C000B2">
        <w:t>Most parts of Aotearoa experience high UV radiation levels, particularly in the summer months (</w:t>
      </w:r>
      <w:r w:rsidR="00DC5A55">
        <w:fldChar w:fldCharType="begin"/>
      </w:r>
      <w:r w:rsidR="00DC5A55">
        <w:instrText xml:space="preserve"> REF _Ref94867432 \h </w:instrText>
      </w:r>
      <w:r w:rsidR="00DC5A55">
        <w:fldChar w:fldCharType="separate"/>
      </w:r>
      <w:r w:rsidR="006E6019">
        <w:t>Table </w:t>
      </w:r>
      <w:r w:rsidR="006E6019">
        <w:rPr>
          <w:noProof/>
        </w:rPr>
        <w:t>3</w:t>
      </w:r>
      <w:r w:rsidR="00DC5A55">
        <w:fldChar w:fldCharType="end"/>
      </w:r>
      <w:r w:rsidRPr="00C000B2">
        <w:t>). Maximum ultraviolet index (UVI) levels in Aotearoa are generally about 12.</w:t>
      </w:r>
      <w:r w:rsidRPr="00DC5A55">
        <w:rPr>
          <w:vertAlign w:val="superscript"/>
        </w:rPr>
        <w:t>329</w:t>
      </w:r>
      <w:r w:rsidRPr="00C000B2">
        <w:t xml:space="preserve"> Sun protection is recommended when the UVI is 3 or higher.</w:t>
      </w:r>
      <w:r w:rsidRPr="00DC5A55">
        <w:rPr>
          <w:vertAlign w:val="superscript"/>
        </w:rPr>
        <w:t>330</w:t>
      </w:r>
    </w:p>
    <w:p w14:paraId="205CA698" w14:textId="77777777" w:rsidR="00DC5A55" w:rsidRPr="00C000B2" w:rsidRDefault="00DC5A55" w:rsidP="00DC5A55"/>
    <w:p w14:paraId="1D6FD210" w14:textId="77777777" w:rsidR="00EF27EC" w:rsidRPr="00C000B2" w:rsidRDefault="00DC5A55" w:rsidP="00DC5A55">
      <w:pPr>
        <w:pStyle w:val="Table"/>
        <w:rPr>
          <w:rFonts w:ascii="Verdana"/>
        </w:rPr>
      </w:pPr>
      <w:bookmarkStart w:id="178" w:name="_Ref94867432"/>
      <w:bookmarkStart w:id="179" w:name="_Toc95059085"/>
      <w:r>
        <w:t>Table </w:t>
      </w:r>
      <w:r w:rsidR="00F50B6E">
        <w:fldChar w:fldCharType="begin"/>
      </w:r>
      <w:r w:rsidR="00F50B6E">
        <w:instrText xml:space="preserve"> SEQ Table \* ARABIC </w:instrText>
      </w:r>
      <w:r w:rsidR="00F50B6E">
        <w:fldChar w:fldCharType="separate"/>
      </w:r>
      <w:r w:rsidR="006E6019">
        <w:rPr>
          <w:noProof/>
        </w:rPr>
        <w:t>3</w:t>
      </w:r>
      <w:r w:rsidR="00F50B6E">
        <w:rPr>
          <w:noProof/>
        </w:rPr>
        <w:fldChar w:fldCharType="end"/>
      </w:r>
      <w:bookmarkEnd w:id="178"/>
      <w:r w:rsidR="00EF27EC" w:rsidRPr="00C000B2">
        <w:t>: Peak ultraviolet index in Aotearoa averaged over one hour at solar noon</w:t>
      </w:r>
      <w:r w:rsidRPr="00DC5A55">
        <w:rPr>
          <w:rStyle w:val="FootnoteReference"/>
          <w:vertAlign w:val="baseline"/>
        </w:rPr>
        <w:footnoteReference w:customMarkFollows="1" w:id="5"/>
        <w:t>*</w:t>
      </w:r>
      <w:r w:rsidR="00EF27EC" w:rsidRPr="00D51073">
        <w:rPr>
          <w:b w:val="0"/>
          <w:vertAlign w:val="superscript"/>
        </w:rPr>
        <w:t>331</w:t>
      </w:r>
      <w:bookmarkEnd w:id="179"/>
    </w:p>
    <w:tbl>
      <w:tblPr>
        <w:tblW w:w="8080" w:type="dxa"/>
        <w:tblInd w:w="57" w:type="dxa"/>
        <w:tblBorders>
          <w:top w:val="single" w:sz="4" w:space="0" w:color="20473C"/>
          <w:left w:val="single" w:sz="4" w:space="0" w:color="20473C"/>
          <w:bottom w:val="single" w:sz="4" w:space="0" w:color="20473C"/>
          <w:right w:val="single" w:sz="4" w:space="0" w:color="20473C"/>
          <w:insideH w:val="single" w:sz="4" w:space="0" w:color="20473C"/>
          <w:insideV w:val="single" w:sz="4" w:space="0" w:color="20473C"/>
        </w:tblBorders>
        <w:tblLayout w:type="fixed"/>
        <w:tblCellMar>
          <w:left w:w="57" w:type="dxa"/>
          <w:right w:w="57" w:type="dxa"/>
        </w:tblCellMar>
        <w:tblLook w:val="01E0" w:firstRow="1" w:lastRow="1" w:firstColumn="1" w:lastColumn="1" w:noHBand="0" w:noVBand="0"/>
      </w:tblPr>
      <w:tblGrid>
        <w:gridCol w:w="1418"/>
        <w:gridCol w:w="555"/>
        <w:gridCol w:w="555"/>
        <w:gridCol w:w="555"/>
        <w:gridCol w:w="555"/>
        <w:gridCol w:w="555"/>
        <w:gridCol w:w="556"/>
        <w:gridCol w:w="555"/>
        <w:gridCol w:w="555"/>
        <w:gridCol w:w="555"/>
        <w:gridCol w:w="555"/>
        <w:gridCol w:w="555"/>
        <w:gridCol w:w="556"/>
      </w:tblGrid>
      <w:tr w:rsidR="00EF27EC" w:rsidRPr="00C000B2" w14:paraId="59DAFBEC" w14:textId="77777777" w:rsidTr="00DC5A55">
        <w:trPr>
          <w:cantSplit/>
        </w:trPr>
        <w:tc>
          <w:tcPr>
            <w:tcW w:w="1418" w:type="dxa"/>
            <w:tcBorders>
              <w:left w:val="nil"/>
              <w:bottom w:val="single" w:sz="4" w:space="0" w:color="94AAA2"/>
              <w:right w:val="nil"/>
            </w:tcBorders>
          </w:tcPr>
          <w:p w14:paraId="65DA762B" w14:textId="77777777" w:rsidR="00EF27EC" w:rsidRPr="00C000B2" w:rsidRDefault="00EF27EC" w:rsidP="00DC5A55">
            <w:pPr>
              <w:pStyle w:val="TableText"/>
            </w:pPr>
          </w:p>
        </w:tc>
        <w:tc>
          <w:tcPr>
            <w:tcW w:w="555" w:type="dxa"/>
            <w:tcBorders>
              <w:left w:val="nil"/>
              <w:bottom w:val="single" w:sz="4" w:space="0" w:color="94AAA2"/>
              <w:right w:val="nil"/>
            </w:tcBorders>
          </w:tcPr>
          <w:p w14:paraId="08F43EF8" w14:textId="77777777" w:rsidR="00EF27EC" w:rsidRPr="00C000B2" w:rsidRDefault="00EF27EC" w:rsidP="00DC5A55">
            <w:pPr>
              <w:pStyle w:val="TableText"/>
              <w:jc w:val="center"/>
              <w:rPr>
                <w:b/>
              </w:rPr>
            </w:pPr>
            <w:r w:rsidRPr="00C000B2">
              <w:rPr>
                <w:b/>
              </w:rPr>
              <w:t>Jan</w:t>
            </w:r>
          </w:p>
        </w:tc>
        <w:tc>
          <w:tcPr>
            <w:tcW w:w="555" w:type="dxa"/>
            <w:tcBorders>
              <w:left w:val="nil"/>
              <w:bottom w:val="single" w:sz="4" w:space="0" w:color="94AAA2"/>
              <w:right w:val="nil"/>
            </w:tcBorders>
          </w:tcPr>
          <w:p w14:paraId="1D20606D" w14:textId="77777777" w:rsidR="00EF27EC" w:rsidRPr="00C000B2" w:rsidRDefault="00EF27EC" w:rsidP="00DC5A55">
            <w:pPr>
              <w:pStyle w:val="TableText"/>
              <w:jc w:val="center"/>
              <w:rPr>
                <w:b/>
              </w:rPr>
            </w:pPr>
            <w:r w:rsidRPr="00C000B2">
              <w:rPr>
                <w:b/>
              </w:rPr>
              <w:t>Feb</w:t>
            </w:r>
          </w:p>
        </w:tc>
        <w:tc>
          <w:tcPr>
            <w:tcW w:w="555" w:type="dxa"/>
            <w:tcBorders>
              <w:left w:val="nil"/>
              <w:bottom w:val="single" w:sz="4" w:space="0" w:color="94AAA2"/>
              <w:right w:val="nil"/>
            </w:tcBorders>
          </w:tcPr>
          <w:p w14:paraId="7E1FEF24" w14:textId="77777777" w:rsidR="00EF27EC" w:rsidRPr="00C000B2" w:rsidRDefault="00EF27EC" w:rsidP="00DC5A55">
            <w:pPr>
              <w:pStyle w:val="TableText"/>
              <w:jc w:val="center"/>
              <w:rPr>
                <w:b/>
              </w:rPr>
            </w:pPr>
            <w:r w:rsidRPr="00C000B2">
              <w:rPr>
                <w:b/>
              </w:rPr>
              <w:t>Mar</w:t>
            </w:r>
          </w:p>
        </w:tc>
        <w:tc>
          <w:tcPr>
            <w:tcW w:w="555" w:type="dxa"/>
            <w:tcBorders>
              <w:left w:val="nil"/>
              <w:bottom w:val="single" w:sz="4" w:space="0" w:color="94AAA2"/>
              <w:right w:val="nil"/>
            </w:tcBorders>
          </w:tcPr>
          <w:p w14:paraId="2A26251A" w14:textId="77777777" w:rsidR="00EF27EC" w:rsidRPr="00C000B2" w:rsidRDefault="00EF27EC" w:rsidP="00DC5A55">
            <w:pPr>
              <w:pStyle w:val="TableText"/>
              <w:jc w:val="center"/>
              <w:rPr>
                <w:b/>
              </w:rPr>
            </w:pPr>
            <w:r w:rsidRPr="00C000B2">
              <w:rPr>
                <w:b/>
              </w:rPr>
              <w:t>Apr</w:t>
            </w:r>
          </w:p>
        </w:tc>
        <w:tc>
          <w:tcPr>
            <w:tcW w:w="555" w:type="dxa"/>
            <w:tcBorders>
              <w:left w:val="nil"/>
              <w:bottom w:val="single" w:sz="4" w:space="0" w:color="94AAA2"/>
              <w:right w:val="nil"/>
            </w:tcBorders>
          </w:tcPr>
          <w:p w14:paraId="146A1503" w14:textId="77777777" w:rsidR="00EF27EC" w:rsidRPr="00C000B2" w:rsidRDefault="00EF27EC" w:rsidP="00DC5A55">
            <w:pPr>
              <w:pStyle w:val="TableText"/>
              <w:jc w:val="center"/>
              <w:rPr>
                <w:b/>
              </w:rPr>
            </w:pPr>
            <w:r w:rsidRPr="00C000B2">
              <w:rPr>
                <w:b/>
              </w:rPr>
              <w:t>May</w:t>
            </w:r>
          </w:p>
        </w:tc>
        <w:tc>
          <w:tcPr>
            <w:tcW w:w="556" w:type="dxa"/>
            <w:tcBorders>
              <w:left w:val="nil"/>
              <w:bottom w:val="single" w:sz="4" w:space="0" w:color="94AAA2"/>
              <w:right w:val="nil"/>
            </w:tcBorders>
          </w:tcPr>
          <w:p w14:paraId="44B4E144" w14:textId="77777777" w:rsidR="00EF27EC" w:rsidRPr="00C000B2" w:rsidRDefault="00EF27EC" w:rsidP="00DC5A55">
            <w:pPr>
              <w:pStyle w:val="TableText"/>
              <w:jc w:val="center"/>
              <w:rPr>
                <w:b/>
              </w:rPr>
            </w:pPr>
            <w:r w:rsidRPr="00C000B2">
              <w:rPr>
                <w:b/>
              </w:rPr>
              <w:t>Jun</w:t>
            </w:r>
          </w:p>
        </w:tc>
        <w:tc>
          <w:tcPr>
            <w:tcW w:w="555" w:type="dxa"/>
            <w:tcBorders>
              <w:left w:val="nil"/>
              <w:bottom w:val="single" w:sz="4" w:space="0" w:color="94AAA2"/>
              <w:right w:val="nil"/>
            </w:tcBorders>
          </w:tcPr>
          <w:p w14:paraId="6A32CAFD" w14:textId="77777777" w:rsidR="00EF27EC" w:rsidRPr="00C000B2" w:rsidRDefault="00EF27EC" w:rsidP="00DC5A55">
            <w:pPr>
              <w:pStyle w:val="TableText"/>
              <w:jc w:val="center"/>
              <w:rPr>
                <w:b/>
              </w:rPr>
            </w:pPr>
            <w:r w:rsidRPr="00C000B2">
              <w:rPr>
                <w:b/>
              </w:rPr>
              <w:t>Jul</w:t>
            </w:r>
          </w:p>
        </w:tc>
        <w:tc>
          <w:tcPr>
            <w:tcW w:w="555" w:type="dxa"/>
            <w:tcBorders>
              <w:left w:val="nil"/>
              <w:bottom w:val="single" w:sz="4" w:space="0" w:color="94AAA2"/>
              <w:right w:val="nil"/>
            </w:tcBorders>
          </w:tcPr>
          <w:p w14:paraId="39A22B38" w14:textId="77777777" w:rsidR="00EF27EC" w:rsidRPr="00C000B2" w:rsidRDefault="00EF27EC" w:rsidP="00DC5A55">
            <w:pPr>
              <w:pStyle w:val="TableText"/>
              <w:jc w:val="center"/>
              <w:rPr>
                <w:b/>
              </w:rPr>
            </w:pPr>
            <w:r w:rsidRPr="00C000B2">
              <w:rPr>
                <w:b/>
              </w:rPr>
              <w:t>Aug</w:t>
            </w:r>
          </w:p>
        </w:tc>
        <w:tc>
          <w:tcPr>
            <w:tcW w:w="555" w:type="dxa"/>
            <w:tcBorders>
              <w:left w:val="nil"/>
              <w:bottom w:val="single" w:sz="4" w:space="0" w:color="94AAA2"/>
              <w:right w:val="nil"/>
            </w:tcBorders>
          </w:tcPr>
          <w:p w14:paraId="1D60DEFC" w14:textId="77777777" w:rsidR="00EF27EC" w:rsidRPr="00C000B2" w:rsidRDefault="00EF27EC" w:rsidP="00DC5A55">
            <w:pPr>
              <w:pStyle w:val="TableText"/>
              <w:jc w:val="center"/>
              <w:rPr>
                <w:b/>
              </w:rPr>
            </w:pPr>
            <w:r w:rsidRPr="00C000B2">
              <w:rPr>
                <w:b/>
              </w:rPr>
              <w:t>Sep</w:t>
            </w:r>
          </w:p>
        </w:tc>
        <w:tc>
          <w:tcPr>
            <w:tcW w:w="555" w:type="dxa"/>
            <w:tcBorders>
              <w:left w:val="nil"/>
              <w:bottom w:val="single" w:sz="4" w:space="0" w:color="94AAA2"/>
              <w:right w:val="nil"/>
            </w:tcBorders>
          </w:tcPr>
          <w:p w14:paraId="285722A5" w14:textId="77777777" w:rsidR="00EF27EC" w:rsidRPr="00C000B2" w:rsidRDefault="00EF27EC" w:rsidP="00DC5A55">
            <w:pPr>
              <w:pStyle w:val="TableText"/>
              <w:jc w:val="center"/>
              <w:rPr>
                <w:b/>
              </w:rPr>
            </w:pPr>
            <w:r w:rsidRPr="00C000B2">
              <w:rPr>
                <w:b/>
              </w:rPr>
              <w:t>Oct</w:t>
            </w:r>
          </w:p>
        </w:tc>
        <w:tc>
          <w:tcPr>
            <w:tcW w:w="555" w:type="dxa"/>
            <w:tcBorders>
              <w:left w:val="nil"/>
              <w:bottom w:val="single" w:sz="4" w:space="0" w:color="94AAA2"/>
              <w:right w:val="nil"/>
            </w:tcBorders>
          </w:tcPr>
          <w:p w14:paraId="31D8D727" w14:textId="77777777" w:rsidR="00EF27EC" w:rsidRPr="00C000B2" w:rsidRDefault="00EF27EC" w:rsidP="00DC5A55">
            <w:pPr>
              <w:pStyle w:val="TableText"/>
              <w:jc w:val="center"/>
              <w:rPr>
                <w:b/>
              </w:rPr>
            </w:pPr>
            <w:r w:rsidRPr="00C000B2">
              <w:rPr>
                <w:b/>
              </w:rPr>
              <w:t>Nov</w:t>
            </w:r>
          </w:p>
        </w:tc>
        <w:tc>
          <w:tcPr>
            <w:tcW w:w="556" w:type="dxa"/>
            <w:tcBorders>
              <w:left w:val="nil"/>
              <w:bottom w:val="single" w:sz="4" w:space="0" w:color="94AAA2"/>
              <w:right w:val="nil"/>
            </w:tcBorders>
          </w:tcPr>
          <w:p w14:paraId="66C2CA62" w14:textId="77777777" w:rsidR="00EF27EC" w:rsidRPr="00C000B2" w:rsidRDefault="00EF27EC" w:rsidP="00DC5A55">
            <w:pPr>
              <w:pStyle w:val="TableText"/>
              <w:jc w:val="center"/>
              <w:rPr>
                <w:b/>
              </w:rPr>
            </w:pPr>
            <w:r w:rsidRPr="00C000B2">
              <w:rPr>
                <w:b/>
              </w:rPr>
              <w:t>Dec</w:t>
            </w:r>
          </w:p>
        </w:tc>
      </w:tr>
      <w:tr w:rsidR="00EF27EC" w:rsidRPr="00C000B2" w14:paraId="5F964E1B" w14:textId="77777777" w:rsidTr="00DC5A55">
        <w:trPr>
          <w:cantSplit/>
        </w:trPr>
        <w:tc>
          <w:tcPr>
            <w:tcW w:w="1418" w:type="dxa"/>
            <w:tcBorders>
              <w:top w:val="single" w:sz="4" w:space="0" w:color="94AAA2"/>
              <w:left w:val="nil"/>
              <w:bottom w:val="single" w:sz="4" w:space="0" w:color="A7A9AC"/>
              <w:right w:val="nil"/>
            </w:tcBorders>
          </w:tcPr>
          <w:p w14:paraId="40FF8345" w14:textId="77777777" w:rsidR="00EF27EC" w:rsidRPr="00C000B2" w:rsidRDefault="00EF27EC" w:rsidP="00DC5A55">
            <w:pPr>
              <w:pStyle w:val="TableText"/>
              <w:rPr>
                <w:b/>
              </w:rPr>
            </w:pPr>
            <w:r w:rsidRPr="00C000B2">
              <w:rPr>
                <w:b/>
              </w:rPr>
              <w:t>Auckland</w:t>
            </w:r>
          </w:p>
        </w:tc>
        <w:tc>
          <w:tcPr>
            <w:tcW w:w="555" w:type="dxa"/>
            <w:tcBorders>
              <w:top w:val="single" w:sz="4" w:space="0" w:color="94AAA2"/>
              <w:left w:val="nil"/>
              <w:bottom w:val="single" w:sz="4" w:space="0" w:color="FFFFFF"/>
              <w:right w:val="single" w:sz="4" w:space="0" w:color="FFFFFF"/>
            </w:tcBorders>
            <w:shd w:val="clear" w:color="auto" w:fill="FCD4CB"/>
          </w:tcPr>
          <w:p w14:paraId="255BD58B" w14:textId="77777777" w:rsidR="00EF27EC" w:rsidRPr="00C000B2" w:rsidRDefault="00EF27EC" w:rsidP="00DC5A55">
            <w:pPr>
              <w:pStyle w:val="TableText"/>
              <w:jc w:val="center"/>
              <w:rPr>
                <w:b/>
              </w:rPr>
            </w:pPr>
            <w:r w:rsidRPr="00C000B2">
              <w:rPr>
                <w:b/>
              </w:rPr>
              <w:t>13</w:t>
            </w:r>
          </w:p>
        </w:tc>
        <w:tc>
          <w:tcPr>
            <w:tcW w:w="555" w:type="dxa"/>
            <w:tcBorders>
              <w:top w:val="single" w:sz="4" w:space="0" w:color="94AAA2"/>
              <w:left w:val="single" w:sz="4" w:space="0" w:color="FFFFFF"/>
              <w:bottom w:val="single" w:sz="4" w:space="0" w:color="FFFFFF"/>
              <w:right w:val="single" w:sz="4" w:space="0" w:color="FFFFFF"/>
            </w:tcBorders>
            <w:shd w:val="clear" w:color="auto" w:fill="FCD4CB"/>
          </w:tcPr>
          <w:p w14:paraId="4F1C096A" w14:textId="77777777" w:rsidR="00EF27EC" w:rsidRPr="00C000B2" w:rsidRDefault="00EF27EC" w:rsidP="00DC5A55">
            <w:pPr>
              <w:pStyle w:val="TableText"/>
              <w:jc w:val="center"/>
              <w:rPr>
                <w:b/>
              </w:rPr>
            </w:pPr>
            <w:r w:rsidRPr="00C000B2">
              <w:rPr>
                <w:b/>
              </w:rPr>
              <w:t>11</w:t>
            </w:r>
          </w:p>
        </w:tc>
        <w:tc>
          <w:tcPr>
            <w:tcW w:w="555" w:type="dxa"/>
            <w:tcBorders>
              <w:top w:val="single" w:sz="4" w:space="0" w:color="94AAA2"/>
              <w:left w:val="single" w:sz="4" w:space="0" w:color="FFFFFF"/>
              <w:bottom w:val="single" w:sz="4" w:space="0" w:color="FFFFFF"/>
              <w:right w:val="single" w:sz="4" w:space="0" w:color="FFFFFF"/>
            </w:tcBorders>
            <w:shd w:val="clear" w:color="auto" w:fill="E7C176"/>
          </w:tcPr>
          <w:p w14:paraId="01A21223" w14:textId="77777777" w:rsidR="00EF27EC" w:rsidRPr="00C000B2" w:rsidRDefault="00EF27EC" w:rsidP="00DC5A55">
            <w:pPr>
              <w:pStyle w:val="TableText"/>
              <w:jc w:val="center"/>
              <w:rPr>
                <w:b/>
              </w:rPr>
            </w:pPr>
            <w:r w:rsidRPr="00C000B2">
              <w:rPr>
                <w:b/>
              </w:rPr>
              <w:t>7</w:t>
            </w:r>
          </w:p>
        </w:tc>
        <w:tc>
          <w:tcPr>
            <w:tcW w:w="555" w:type="dxa"/>
            <w:tcBorders>
              <w:top w:val="single" w:sz="4" w:space="0" w:color="94AAA2"/>
              <w:left w:val="single" w:sz="4" w:space="0" w:color="FFFFFF"/>
              <w:bottom w:val="single" w:sz="4" w:space="0" w:color="FFFFFF"/>
              <w:right w:val="single" w:sz="4" w:space="0" w:color="FFFFFF"/>
            </w:tcBorders>
            <w:shd w:val="clear" w:color="auto" w:fill="F4E2C2"/>
          </w:tcPr>
          <w:p w14:paraId="419E6809" w14:textId="77777777" w:rsidR="00EF27EC" w:rsidRPr="00C000B2" w:rsidRDefault="00EF27EC" w:rsidP="00DC5A55">
            <w:pPr>
              <w:pStyle w:val="TableText"/>
              <w:jc w:val="center"/>
              <w:rPr>
                <w:b/>
              </w:rPr>
            </w:pPr>
            <w:r w:rsidRPr="00C000B2">
              <w:rPr>
                <w:b/>
              </w:rPr>
              <w:t>4</w:t>
            </w:r>
          </w:p>
        </w:tc>
        <w:tc>
          <w:tcPr>
            <w:tcW w:w="555" w:type="dxa"/>
            <w:tcBorders>
              <w:top w:val="single" w:sz="4" w:space="0" w:color="94AAA2"/>
              <w:left w:val="single" w:sz="4" w:space="0" w:color="FFFFFF"/>
              <w:bottom w:val="single" w:sz="4" w:space="0" w:color="FFFFFF"/>
              <w:right w:val="single" w:sz="4" w:space="0" w:color="FFFFFF"/>
            </w:tcBorders>
            <w:shd w:val="clear" w:color="auto" w:fill="7AC9AF"/>
          </w:tcPr>
          <w:p w14:paraId="7509F842" w14:textId="77777777" w:rsidR="00EF27EC" w:rsidRPr="00C000B2" w:rsidRDefault="00EF27EC" w:rsidP="00DC5A55">
            <w:pPr>
              <w:pStyle w:val="TableText"/>
              <w:jc w:val="center"/>
              <w:rPr>
                <w:b/>
              </w:rPr>
            </w:pPr>
            <w:r w:rsidRPr="00C000B2">
              <w:rPr>
                <w:b/>
              </w:rPr>
              <w:t>2</w:t>
            </w:r>
          </w:p>
        </w:tc>
        <w:tc>
          <w:tcPr>
            <w:tcW w:w="556" w:type="dxa"/>
            <w:tcBorders>
              <w:top w:val="single" w:sz="4" w:space="0" w:color="94AAA2"/>
              <w:left w:val="single" w:sz="4" w:space="0" w:color="FFFFFF"/>
              <w:bottom w:val="single" w:sz="4" w:space="0" w:color="FFFFFF"/>
              <w:right w:val="single" w:sz="4" w:space="0" w:color="FFFFFF"/>
            </w:tcBorders>
            <w:shd w:val="clear" w:color="auto" w:fill="7AC9AF"/>
          </w:tcPr>
          <w:p w14:paraId="1A86033A" w14:textId="77777777" w:rsidR="00EF27EC" w:rsidRPr="00C000B2" w:rsidRDefault="00EF27EC" w:rsidP="00DC5A55">
            <w:pPr>
              <w:pStyle w:val="TableText"/>
              <w:jc w:val="center"/>
              <w:rPr>
                <w:b/>
              </w:rPr>
            </w:pPr>
            <w:r w:rsidRPr="00C000B2">
              <w:rPr>
                <w:b/>
              </w:rPr>
              <w:t>2</w:t>
            </w:r>
          </w:p>
        </w:tc>
        <w:tc>
          <w:tcPr>
            <w:tcW w:w="555" w:type="dxa"/>
            <w:tcBorders>
              <w:top w:val="single" w:sz="4" w:space="0" w:color="94AAA2"/>
              <w:left w:val="single" w:sz="4" w:space="0" w:color="FFFFFF"/>
              <w:bottom w:val="single" w:sz="4" w:space="0" w:color="FFFFFF"/>
              <w:right w:val="single" w:sz="4" w:space="0" w:color="FFFFFF"/>
            </w:tcBorders>
            <w:shd w:val="clear" w:color="auto" w:fill="F4E2C2"/>
          </w:tcPr>
          <w:p w14:paraId="2236764E" w14:textId="77777777" w:rsidR="00EF27EC" w:rsidRPr="00C000B2" w:rsidRDefault="00EF27EC" w:rsidP="00DC5A55">
            <w:pPr>
              <w:pStyle w:val="TableText"/>
              <w:jc w:val="center"/>
              <w:rPr>
                <w:b/>
              </w:rPr>
            </w:pPr>
            <w:r w:rsidRPr="00C000B2">
              <w:rPr>
                <w:b/>
              </w:rPr>
              <w:t>3</w:t>
            </w:r>
          </w:p>
        </w:tc>
        <w:tc>
          <w:tcPr>
            <w:tcW w:w="555" w:type="dxa"/>
            <w:tcBorders>
              <w:top w:val="single" w:sz="4" w:space="0" w:color="94AAA2"/>
              <w:left w:val="single" w:sz="4" w:space="0" w:color="FFFFFF"/>
              <w:bottom w:val="single" w:sz="4" w:space="0" w:color="FFFFFF"/>
              <w:right w:val="single" w:sz="4" w:space="0" w:color="FFFFFF"/>
            </w:tcBorders>
            <w:shd w:val="clear" w:color="auto" w:fill="F4E2C2"/>
          </w:tcPr>
          <w:p w14:paraId="1E654496" w14:textId="77777777" w:rsidR="00EF27EC" w:rsidRPr="00C000B2" w:rsidRDefault="00EF27EC" w:rsidP="00DC5A55">
            <w:pPr>
              <w:pStyle w:val="TableText"/>
              <w:jc w:val="center"/>
              <w:rPr>
                <w:b/>
              </w:rPr>
            </w:pPr>
            <w:r w:rsidRPr="00C000B2">
              <w:rPr>
                <w:b/>
              </w:rPr>
              <w:t>5</w:t>
            </w:r>
          </w:p>
        </w:tc>
        <w:tc>
          <w:tcPr>
            <w:tcW w:w="555" w:type="dxa"/>
            <w:tcBorders>
              <w:top w:val="single" w:sz="4" w:space="0" w:color="94AAA2"/>
              <w:left w:val="single" w:sz="4" w:space="0" w:color="FFFFFF"/>
              <w:bottom w:val="single" w:sz="4" w:space="0" w:color="FFFFFF"/>
              <w:right w:val="single" w:sz="4" w:space="0" w:color="FFFFFF"/>
            </w:tcBorders>
            <w:shd w:val="clear" w:color="auto" w:fill="E7C176"/>
          </w:tcPr>
          <w:p w14:paraId="2E04F573" w14:textId="77777777" w:rsidR="00EF27EC" w:rsidRPr="00C000B2" w:rsidRDefault="00EF27EC" w:rsidP="00DC5A55">
            <w:pPr>
              <w:pStyle w:val="TableText"/>
              <w:jc w:val="center"/>
              <w:rPr>
                <w:b/>
              </w:rPr>
            </w:pPr>
            <w:r w:rsidRPr="00C000B2">
              <w:rPr>
                <w:b/>
              </w:rPr>
              <w:t>6</w:t>
            </w:r>
          </w:p>
        </w:tc>
        <w:tc>
          <w:tcPr>
            <w:tcW w:w="555" w:type="dxa"/>
            <w:tcBorders>
              <w:top w:val="single" w:sz="4" w:space="0" w:color="94AAA2"/>
              <w:left w:val="single" w:sz="4" w:space="0" w:color="FFFFFF"/>
              <w:bottom w:val="single" w:sz="4" w:space="0" w:color="FFFFFF"/>
              <w:right w:val="single" w:sz="4" w:space="0" w:color="FFFFFF"/>
            </w:tcBorders>
            <w:shd w:val="clear" w:color="auto" w:fill="F37973"/>
          </w:tcPr>
          <w:p w14:paraId="0F491725" w14:textId="77777777" w:rsidR="00EF27EC" w:rsidRPr="00C000B2" w:rsidRDefault="00EF27EC" w:rsidP="00DC5A55">
            <w:pPr>
              <w:pStyle w:val="TableText"/>
              <w:jc w:val="center"/>
              <w:rPr>
                <w:b/>
              </w:rPr>
            </w:pPr>
            <w:r w:rsidRPr="00C000B2">
              <w:rPr>
                <w:b/>
              </w:rPr>
              <w:t>8</w:t>
            </w:r>
          </w:p>
        </w:tc>
        <w:tc>
          <w:tcPr>
            <w:tcW w:w="555" w:type="dxa"/>
            <w:tcBorders>
              <w:top w:val="single" w:sz="4" w:space="0" w:color="94AAA2"/>
              <w:left w:val="single" w:sz="4" w:space="0" w:color="FFFFFF"/>
              <w:bottom w:val="single" w:sz="4" w:space="0" w:color="FFFFFF"/>
              <w:right w:val="single" w:sz="4" w:space="0" w:color="FFFFFF"/>
            </w:tcBorders>
            <w:shd w:val="clear" w:color="auto" w:fill="FCD4CB"/>
          </w:tcPr>
          <w:p w14:paraId="02099C2B" w14:textId="77777777" w:rsidR="00EF27EC" w:rsidRPr="00C000B2" w:rsidRDefault="00EF27EC" w:rsidP="00DC5A55">
            <w:pPr>
              <w:pStyle w:val="TableText"/>
              <w:jc w:val="center"/>
              <w:rPr>
                <w:b/>
              </w:rPr>
            </w:pPr>
            <w:r w:rsidRPr="00C000B2">
              <w:rPr>
                <w:b/>
              </w:rPr>
              <w:t>11</w:t>
            </w:r>
          </w:p>
        </w:tc>
        <w:tc>
          <w:tcPr>
            <w:tcW w:w="556" w:type="dxa"/>
            <w:tcBorders>
              <w:top w:val="single" w:sz="4" w:space="0" w:color="94AAA2"/>
              <w:left w:val="single" w:sz="4" w:space="0" w:color="FFFFFF"/>
              <w:bottom w:val="single" w:sz="4" w:space="0" w:color="FFFFFF"/>
              <w:right w:val="nil"/>
            </w:tcBorders>
            <w:shd w:val="clear" w:color="auto" w:fill="FCD4CB"/>
          </w:tcPr>
          <w:p w14:paraId="45B8DA2A" w14:textId="77777777" w:rsidR="00EF27EC" w:rsidRPr="00C000B2" w:rsidRDefault="00EF27EC" w:rsidP="00DC5A55">
            <w:pPr>
              <w:pStyle w:val="TableText"/>
              <w:jc w:val="center"/>
              <w:rPr>
                <w:b/>
              </w:rPr>
            </w:pPr>
            <w:r w:rsidRPr="00C000B2">
              <w:rPr>
                <w:b/>
              </w:rPr>
              <w:t>13</w:t>
            </w:r>
          </w:p>
        </w:tc>
      </w:tr>
      <w:tr w:rsidR="00EF27EC" w:rsidRPr="00C000B2" w14:paraId="4EC7CC25" w14:textId="77777777" w:rsidTr="00DC5A55">
        <w:trPr>
          <w:cantSplit/>
        </w:trPr>
        <w:tc>
          <w:tcPr>
            <w:tcW w:w="1418" w:type="dxa"/>
            <w:tcBorders>
              <w:top w:val="single" w:sz="4" w:space="0" w:color="A7A9AC"/>
              <w:left w:val="nil"/>
              <w:bottom w:val="single" w:sz="4" w:space="0" w:color="A7A9AC"/>
              <w:right w:val="nil"/>
            </w:tcBorders>
          </w:tcPr>
          <w:p w14:paraId="243F5247" w14:textId="77777777" w:rsidR="00EF27EC" w:rsidRPr="00C000B2" w:rsidRDefault="00EF27EC" w:rsidP="00DC5A55">
            <w:pPr>
              <w:pStyle w:val="TableText"/>
              <w:rPr>
                <w:b/>
              </w:rPr>
            </w:pPr>
            <w:r w:rsidRPr="00C000B2">
              <w:rPr>
                <w:b/>
              </w:rPr>
              <w:t>Wellington</w:t>
            </w:r>
          </w:p>
        </w:tc>
        <w:tc>
          <w:tcPr>
            <w:tcW w:w="555" w:type="dxa"/>
            <w:tcBorders>
              <w:top w:val="single" w:sz="4" w:space="0" w:color="FFFFFF"/>
              <w:left w:val="nil"/>
              <w:bottom w:val="single" w:sz="4" w:space="0" w:color="FFFFFF"/>
              <w:right w:val="single" w:sz="4" w:space="0" w:color="FFFFFF"/>
            </w:tcBorders>
            <w:shd w:val="clear" w:color="auto" w:fill="FCD4CB"/>
          </w:tcPr>
          <w:p w14:paraId="2C4439EC" w14:textId="77777777" w:rsidR="00EF27EC" w:rsidRPr="00C000B2" w:rsidRDefault="00EF27EC" w:rsidP="00DC5A55">
            <w:pPr>
              <w:pStyle w:val="TableText"/>
              <w:jc w:val="center"/>
              <w:rPr>
                <w:b/>
              </w:rPr>
            </w:pPr>
            <w:r w:rsidRPr="00C000B2">
              <w:rPr>
                <w:b/>
              </w:rPr>
              <w:t>13</w:t>
            </w:r>
          </w:p>
        </w:tc>
        <w:tc>
          <w:tcPr>
            <w:tcW w:w="555" w:type="dxa"/>
            <w:tcBorders>
              <w:top w:val="single" w:sz="4" w:space="0" w:color="FFFFFF"/>
              <w:left w:val="single" w:sz="4" w:space="0" w:color="FFFFFF"/>
              <w:bottom w:val="single" w:sz="4" w:space="0" w:color="FFFFFF"/>
              <w:right w:val="single" w:sz="4" w:space="0" w:color="FFFFFF"/>
            </w:tcBorders>
            <w:shd w:val="clear" w:color="auto" w:fill="F37973"/>
          </w:tcPr>
          <w:p w14:paraId="506EDB30" w14:textId="77777777" w:rsidR="00EF27EC" w:rsidRPr="00C000B2" w:rsidRDefault="00EF27EC" w:rsidP="00DC5A55">
            <w:pPr>
              <w:pStyle w:val="TableText"/>
              <w:jc w:val="center"/>
              <w:rPr>
                <w:b/>
              </w:rPr>
            </w:pPr>
            <w:r w:rsidRPr="00C000B2">
              <w:rPr>
                <w:b/>
              </w:rPr>
              <w:t>9</w:t>
            </w:r>
          </w:p>
        </w:tc>
        <w:tc>
          <w:tcPr>
            <w:tcW w:w="555" w:type="dxa"/>
            <w:tcBorders>
              <w:top w:val="single" w:sz="4" w:space="0" w:color="FFFFFF"/>
              <w:left w:val="single" w:sz="4" w:space="0" w:color="FFFFFF"/>
              <w:bottom w:val="single" w:sz="4" w:space="0" w:color="FFFFFF"/>
              <w:right w:val="single" w:sz="4" w:space="0" w:color="FFFFFF"/>
            </w:tcBorders>
            <w:shd w:val="clear" w:color="auto" w:fill="E7C176"/>
          </w:tcPr>
          <w:p w14:paraId="47DBB314" w14:textId="77777777" w:rsidR="00EF27EC" w:rsidRPr="00C000B2" w:rsidRDefault="00EF27EC" w:rsidP="00DC5A55">
            <w:pPr>
              <w:pStyle w:val="TableText"/>
              <w:jc w:val="center"/>
              <w:rPr>
                <w:b/>
              </w:rPr>
            </w:pPr>
            <w:r w:rsidRPr="00C000B2">
              <w:rPr>
                <w:b/>
              </w:rPr>
              <w:t>6</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5271DCA8" w14:textId="77777777" w:rsidR="00EF27EC" w:rsidRPr="00C000B2" w:rsidRDefault="00EF27EC" w:rsidP="00DC5A55">
            <w:pPr>
              <w:pStyle w:val="TableText"/>
              <w:jc w:val="center"/>
              <w:rPr>
                <w:b/>
              </w:rPr>
            </w:pPr>
            <w:r w:rsidRPr="00C000B2">
              <w:rPr>
                <w:b/>
              </w:rPr>
              <w:t>3</w:t>
            </w:r>
          </w:p>
        </w:tc>
        <w:tc>
          <w:tcPr>
            <w:tcW w:w="555" w:type="dxa"/>
            <w:tcBorders>
              <w:top w:val="single" w:sz="4" w:space="0" w:color="FFFFFF"/>
              <w:left w:val="single" w:sz="4" w:space="0" w:color="FFFFFF"/>
              <w:bottom w:val="single" w:sz="4" w:space="0" w:color="FFFFFF"/>
              <w:right w:val="single" w:sz="4" w:space="0" w:color="FFFFFF"/>
            </w:tcBorders>
            <w:shd w:val="clear" w:color="auto" w:fill="7AC9AF"/>
          </w:tcPr>
          <w:p w14:paraId="752B036D" w14:textId="77777777" w:rsidR="00EF27EC" w:rsidRPr="00C000B2" w:rsidRDefault="00EF27EC" w:rsidP="00DC5A55">
            <w:pPr>
              <w:pStyle w:val="TableText"/>
              <w:jc w:val="center"/>
              <w:rPr>
                <w:b/>
              </w:rPr>
            </w:pPr>
            <w:r w:rsidRPr="00C000B2">
              <w:rPr>
                <w:b/>
              </w:rPr>
              <w:t>2</w:t>
            </w:r>
          </w:p>
        </w:tc>
        <w:tc>
          <w:tcPr>
            <w:tcW w:w="556" w:type="dxa"/>
            <w:tcBorders>
              <w:top w:val="single" w:sz="4" w:space="0" w:color="FFFFFF"/>
              <w:left w:val="single" w:sz="4" w:space="0" w:color="FFFFFF"/>
              <w:bottom w:val="single" w:sz="4" w:space="0" w:color="FFFFFF"/>
              <w:right w:val="single" w:sz="4" w:space="0" w:color="FFFFFF"/>
            </w:tcBorders>
            <w:shd w:val="clear" w:color="auto" w:fill="7AC9AF"/>
          </w:tcPr>
          <w:p w14:paraId="0E2F6A1B" w14:textId="77777777" w:rsidR="00EF27EC" w:rsidRPr="00C000B2" w:rsidRDefault="00EF27EC" w:rsidP="00DC5A55">
            <w:pPr>
              <w:pStyle w:val="TableText"/>
              <w:jc w:val="center"/>
              <w:rPr>
                <w:b/>
              </w:rPr>
            </w:pPr>
            <w:r w:rsidRPr="00C000B2">
              <w:rPr>
                <w:b/>
              </w:rPr>
              <w:t>1</w:t>
            </w:r>
          </w:p>
        </w:tc>
        <w:tc>
          <w:tcPr>
            <w:tcW w:w="555" w:type="dxa"/>
            <w:tcBorders>
              <w:top w:val="single" w:sz="4" w:space="0" w:color="FFFFFF"/>
              <w:left w:val="single" w:sz="4" w:space="0" w:color="FFFFFF"/>
              <w:bottom w:val="single" w:sz="4" w:space="0" w:color="FFFFFF"/>
              <w:right w:val="single" w:sz="4" w:space="0" w:color="FFFFFF"/>
            </w:tcBorders>
            <w:shd w:val="clear" w:color="auto" w:fill="7AC9AF"/>
          </w:tcPr>
          <w:p w14:paraId="4C064AE0" w14:textId="77777777" w:rsidR="00EF27EC" w:rsidRPr="00C000B2" w:rsidRDefault="00EF27EC" w:rsidP="00DC5A55">
            <w:pPr>
              <w:pStyle w:val="TableText"/>
              <w:jc w:val="center"/>
              <w:rPr>
                <w:b/>
              </w:rPr>
            </w:pPr>
            <w:r w:rsidRPr="00C000B2">
              <w:rPr>
                <w:b/>
              </w:rPr>
              <w:t>2</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28734EA4" w14:textId="77777777" w:rsidR="00EF27EC" w:rsidRPr="00C000B2" w:rsidRDefault="00EF27EC" w:rsidP="00DC5A55">
            <w:pPr>
              <w:pStyle w:val="TableText"/>
              <w:jc w:val="center"/>
              <w:rPr>
                <w:b/>
              </w:rPr>
            </w:pPr>
            <w:r w:rsidRPr="00C000B2">
              <w:rPr>
                <w:b/>
              </w:rPr>
              <w:t>4</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6A9CA631" w14:textId="77777777" w:rsidR="00EF27EC" w:rsidRPr="00C000B2" w:rsidRDefault="00EF27EC" w:rsidP="00DC5A55">
            <w:pPr>
              <w:pStyle w:val="TableText"/>
              <w:jc w:val="center"/>
              <w:rPr>
                <w:b/>
              </w:rPr>
            </w:pPr>
            <w:r w:rsidRPr="00C000B2">
              <w:rPr>
                <w:b/>
              </w:rPr>
              <w:t>5</w:t>
            </w:r>
          </w:p>
        </w:tc>
        <w:tc>
          <w:tcPr>
            <w:tcW w:w="555" w:type="dxa"/>
            <w:tcBorders>
              <w:top w:val="single" w:sz="4" w:space="0" w:color="FFFFFF"/>
              <w:left w:val="single" w:sz="4" w:space="0" w:color="FFFFFF"/>
              <w:bottom w:val="single" w:sz="4" w:space="0" w:color="FFFFFF"/>
              <w:right w:val="single" w:sz="4" w:space="0" w:color="FFFFFF"/>
            </w:tcBorders>
            <w:shd w:val="clear" w:color="auto" w:fill="F37973"/>
          </w:tcPr>
          <w:p w14:paraId="16A0A3FC" w14:textId="77777777" w:rsidR="00EF27EC" w:rsidRPr="00C000B2" w:rsidRDefault="00EF27EC" w:rsidP="00DC5A55">
            <w:pPr>
              <w:pStyle w:val="TableText"/>
              <w:jc w:val="center"/>
              <w:rPr>
                <w:b/>
              </w:rPr>
            </w:pPr>
            <w:r w:rsidRPr="00C000B2">
              <w:rPr>
                <w:b/>
              </w:rPr>
              <w:t>8</w:t>
            </w:r>
          </w:p>
        </w:tc>
        <w:tc>
          <w:tcPr>
            <w:tcW w:w="555" w:type="dxa"/>
            <w:tcBorders>
              <w:top w:val="single" w:sz="4" w:space="0" w:color="FFFFFF"/>
              <w:left w:val="single" w:sz="4" w:space="0" w:color="FFFFFF"/>
              <w:bottom w:val="single" w:sz="4" w:space="0" w:color="FFFFFF"/>
              <w:right w:val="single" w:sz="4" w:space="0" w:color="FFFFFF"/>
            </w:tcBorders>
            <w:shd w:val="clear" w:color="auto" w:fill="FCD4CB"/>
          </w:tcPr>
          <w:p w14:paraId="2BBFA987" w14:textId="77777777" w:rsidR="00EF27EC" w:rsidRPr="00C000B2" w:rsidRDefault="00EF27EC" w:rsidP="00DC5A55">
            <w:pPr>
              <w:pStyle w:val="TableText"/>
              <w:jc w:val="center"/>
              <w:rPr>
                <w:b/>
              </w:rPr>
            </w:pPr>
            <w:r w:rsidRPr="00C000B2">
              <w:rPr>
                <w:b/>
              </w:rPr>
              <w:t>11</w:t>
            </w:r>
          </w:p>
        </w:tc>
        <w:tc>
          <w:tcPr>
            <w:tcW w:w="556" w:type="dxa"/>
            <w:tcBorders>
              <w:top w:val="single" w:sz="4" w:space="0" w:color="FFFFFF"/>
              <w:left w:val="single" w:sz="4" w:space="0" w:color="FFFFFF"/>
              <w:bottom w:val="single" w:sz="4" w:space="0" w:color="FFFFFF"/>
              <w:right w:val="nil"/>
            </w:tcBorders>
            <w:shd w:val="clear" w:color="auto" w:fill="FCD4CB"/>
          </w:tcPr>
          <w:p w14:paraId="72D7759C" w14:textId="77777777" w:rsidR="00EF27EC" w:rsidRPr="00C000B2" w:rsidRDefault="00EF27EC" w:rsidP="00DC5A55">
            <w:pPr>
              <w:pStyle w:val="TableText"/>
              <w:jc w:val="center"/>
              <w:rPr>
                <w:b/>
              </w:rPr>
            </w:pPr>
            <w:r w:rsidRPr="00C000B2">
              <w:rPr>
                <w:b/>
              </w:rPr>
              <w:t>12</w:t>
            </w:r>
          </w:p>
        </w:tc>
      </w:tr>
      <w:tr w:rsidR="00EF27EC" w:rsidRPr="00C000B2" w14:paraId="3363AE00" w14:textId="77777777" w:rsidTr="00DC5A55">
        <w:trPr>
          <w:cantSplit/>
        </w:trPr>
        <w:tc>
          <w:tcPr>
            <w:tcW w:w="1418" w:type="dxa"/>
            <w:tcBorders>
              <w:top w:val="single" w:sz="4" w:space="0" w:color="A7A9AC"/>
              <w:left w:val="nil"/>
              <w:bottom w:val="single" w:sz="4" w:space="0" w:color="A7A9AC"/>
              <w:right w:val="nil"/>
            </w:tcBorders>
          </w:tcPr>
          <w:p w14:paraId="61EF85A0" w14:textId="77777777" w:rsidR="00EF27EC" w:rsidRPr="00C000B2" w:rsidRDefault="00EF27EC" w:rsidP="00DC5A55">
            <w:pPr>
              <w:pStyle w:val="TableText"/>
              <w:rPr>
                <w:b/>
              </w:rPr>
            </w:pPr>
            <w:r w:rsidRPr="00C000B2">
              <w:rPr>
                <w:b/>
              </w:rPr>
              <w:t>Christchurch</w:t>
            </w:r>
          </w:p>
        </w:tc>
        <w:tc>
          <w:tcPr>
            <w:tcW w:w="555" w:type="dxa"/>
            <w:tcBorders>
              <w:top w:val="single" w:sz="4" w:space="0" w:color="FFFFFF"/>
              <w:left w:val="nil"/>
              <w:bottom w:val="single" w:sz="4" w:space="0" w:color="FFFFFF"/>
              <w:right w:val="single" w:sz="4" w:space="0" w:color="FFFFFF"/>
            </w:tcBorders>
            <w:shd w:val="clear" w:color="auto" w:fill="FCD4CB"/>
          </w:tcPr>
          <w:p w14:paraId="3CE63154" w14:textId="77777777" w:rsidR="00EF27EC" w:rsidRPr="00C000B2" w:rsidRDefault="00EF27EC" w:rsidP="00DC5A55">
            <w:pPr>
              <w:pStyle w:val="TableText"/>
              <w:jc w:val="center"/>
              <w:rPr>
                <w:b/>
              </w:rPr>
            </w:pPr>
            <w:r w:rsidRPr="00C000B2">
              <w:rPr>
                <w:b/>
              </w:rPr>
              <w:t>12</w:t>
            </w:r>
          </w:p>
        </w:tc>
        <w:tc>
          <w:tcPr>
            <w:tcW w:w="555" w:type="dxa"/>
            <w:tcBorders>
              <w:top w:val="single" w:sz="4" w:space="0" w:color="FFFFFF"/>
              <w:left w:val="single" w:sz="4" w:space="0" w:color="FFFFFF"/>
              <w:bottom w:val="single" w:sz="4" w:space="0" w:color="FFFFFF"/>
              <w:right w:val="single" w:sz="4" w:space="0" w:color="FFFFFF"/>
            </w:tcBorders>
            <w:shd w:val="clear" w:color="auto" w:fill="F37973"/>
          </w:tcPr>
          <w:p w14:paraId="65FF3410" w14:textId="77777777" w:rsidR="00EF27EC" w:rsidRPr="00C000B2" w:rsidRDefault="00EF27EC" w:rsidP="00DC5A55">
            <w:pPr>
              <w:pStyle w:val="TableText"/>
              <w:jc w:val="center"/>
              <w:rPr>
                <w:b/>
              </w:rPr>
            </w:pPr>
            <w:r w:rsidRPr="00C000B2">
              <w:rPr>
                <w:b/>
              </w:rPr>
              <w:t>8</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0A7D2DC5" w14:textId="77777777" w:rsidR="00EF27EC" w:rsidRPr="00C000B2" w:rsidRDefault="00EF27EC" w:rsidP="00DC5A55">
            <w:pPr>
              <w:pStyle w:val="TableText"/>
              <w:jc w:val="center"/>
              <w:rPr>
                <w:b/>
              </w:rPr>
            </w:pPr>
            <w:r w:rsidRPr="00C000B2">
              <w:rPr>
                <w:b/>
              </w:rPr>
              <w:t>5</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7F519DE1" w14:textId="77777777" w:rsidR="00EF27EC" w:rsidRPr="00C000B2" w:rsidRDefault="00EF27EC" w:rsidP="00DC5A55">
            <w:pPr>
              <w:pStyle w:val="TableText"/>
              <w:jc w:val="center"/>
              <w:rPr>
                <w:b/>
              </w:rPr>
            </w:pPr>
            <w:r w:rsidRPr="00C000B2">
              <w:rPr>
                <w:b/>
              </w:rPr>
              <w:t>3</w:t>
            </w:r>
          </w:p>
        </w:tc>
        <w:tc>
          <w:tcPr>
            <w:tcW w:w="555" w:type="dxa"/>
            <w:tcBorders>
              <w:top w:val="single" w:sz="4" w:space="0" w:color="FFFFFF"/>
              <w:left w:val="single" w:sz="4" w:space="0" w:color="FFFFFF"/>
              <w:bottom w:val="single" w:sz="4" w:space="0" w:color="FFFFFF"/>
              <w:right w:val="single" w:sz="4" w:space="0" w:color="FFFFFF"/>
            </w:tcBorders>
            <w:shd w:val="clear" w:color="auto" w:fill="7AC9AF"/>
          </w:tcPr>
          <w:p w14:paraId="7922AD3B" w14:textId="77777777" w:rsidR="00EF27EC" w:rsidRPr="00C000B2" w:rsidRDefault="00EF27EC" w:rsidP="00DC5A55">
            <w:pPr>
              <w:pStyle w:val="TableText"/>
              <w:jc w:val="center"/>
              <w:rPr>
                <w:b/>
              </w:rPr>
            </w:pPr>
            <w:r w:rsidRPr="00C000B2">
              <w:rPr>
                <w:b/>
              </w:rPr>
              <w:t>1</w:t>
            </w:r>
          </w:p>
        </w:tc>
        <w:tc>
          <w:tcPr>
            <w:tcW w:w="556" w:type="dxa"/>
            <w:tcBorders>
              <w:top w:val="single" w:sz="4" w:space="0" w:color="FFFFFF"/>
              <w:left w:val="single" w:sz="4" w:space="0" w:color="FFFFFF"/>
              <w:bottom w:val="single" w:sz="4" w:space="0" w:color="FFFFFF"/>
              <w:right w:val="single" w:sz="4" w:space="0" w:color="FFFFFF"/>
            </w:tcBorders>
            <w:shd w:val="clear" w:color="auto" w:fill="7AC9AF"/>
          </w:tcPr>
          <w:p w14:paraId="425CB13C" w14:textId="77777777" w:rsidR="00EF27EC" w:rsidRPr="00C000B2" w:rsidRDefault="00EF27EC" w:rsidP="00DC5A55">
            <w:pPr>
              <w:pStyle w:val="TableText"/>
              <w:jc w:val="center"/>
              <w:rPr>
                <w:b/>
              </w:rPr>
            </w:pPr>
            <w:r w:rsidRPr="00C000B2">
              <w:rPr>
                <w:b/>
              </w:rPr>
              <w:t>1</w:t>
            </w:r>
          </w:p>
        </w:tc>
        <w:tc>
          <w:tcPr>
            <w:tcW w:w="555" w:type="dxa"/>
            <w:tcBorders>
              <w:top w:val="single" w:sz="4" w:space="0" w:color="FFFFFF"/>
              <w:left w:val="single" w:sz="4" w:space="0" w:color="FFFFFF"/>
              <w:bottom w:val="single" w:sz="4" w:space="0" w:color="FFFFFF"/>
              <w:right w:val="single" w:sz="4" w:space="0" w:color="FFFFFF"/>
            </w:tcBorders>
            <w:shd w:val="clear" w:color="auto" w:fill="7AC9AF"/>
          </w:tcPr>
          <w:p w14:paraId="79082DED" w14:textId="77777777" w:rsidR="00EF27EC" w:rsidRPr="00C000B2" w:rsidRDefault="00EF27EC" w:rsidP="00DC5A55">
            <w:pPr>
              <w:pStyle w:val="TableText"/>
              <w:jc w:val="center"/>
              <w:rPr>
                <w:b/>
              </w:rPr>
            </w:pPr>
            <w:r w:rsidRPr="00C000B2">
              <w:rPr>
                <w:b/>
              </w:rPr>
              <w:t>2</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49D6C2DA" w14:textId="77777777" w:rsidR="00EF27EC" w:rsidRPr="00C000B2" w:rsidRDefault="00EF27EC" w:rsidP="00DC5A55">
            <w:pPr>
              <w:pStyle w:val="TableText"/>
              <w:jc w:val="center"/>
              <w:rPr>
                <w:b/>
              </w:rPr>
            </w:pPr>
            <w:r w:rsidRPr="00C000B2">
              <w:rPr>
                <w:b/>
              </w:rPr>
              <w:t>3</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4EFDF272" w14:textId="77777777" w:rsidR="00EF27EC" w:rsidRPr="00C000B2" w:rsidRDefault="00EF27EC" w:rsidP="00DC5A55">
            <w:pPr>
              <w:pStyle w:val="TableText"/>
              <w:jc w:val="center"/>
              <w:rPr>
                <w:b/>
              </w:rPr>
            </w:pPr>
            <w:r w:rsidRPr="00C000B2">
              <w:rPr>
                <w:b/>
              </w:rPr>
              <w:t>4</w:t>
            </w:r>
          </w:p>
        </w:tc>
        <w:tc>
          <w:tcPr>
            <w:tcW w:w="555" w:type="dxa"/>
            <w:tcBorders>
              <w:top w:val="single" w:sz="4" w:space="0" w:color="FFFFFF"/>
              <w:left w:val="single" w:sz="4" w:space="0" w:color="FFFFFF"/>
              <w:bottom w:val="single" w:sz="4" w:space="0" w:color="FFFFFF"/>
              <w:right w:val="single" w:sz="4" w:space="0" w:color="FFFFFF"/>
            </w:tcBorders>
            <w:shd w:val="clear" w:color="auto" w:fill="F37973"/>
          </w:tcPr>
          <w:p w14:paraId="7F4AE3AA" w14:textId="77777777" w:rsidR="00EF27EC" w:rsidRPr="00C000B2" w:rsidRDefault="00EF27EC" w:rsidP="00DC5A55">
            <w:pPr>
              <w:pStyle w:val="TableText"/>
              <w:jc w:val="center"/>
              <w:rPr>
                <w:b/>
              </w:rPr>
            </w:pPr>
            <w:r w:rsidRPr="00C000B2">
              <w:rPr>
                <w:b/>
              </w:rPr>
              <w:t>8</w:t>
            </w:r>
          </w:p>
        </w:tc>
        <w:tc>
          <w:tcPr>
            <w:tcW w:w="555" w:type="dxa"/>
            <w:tcBorders>
              <w:top w:val="single" w:sz="4" w:space="0" w:color="FFFFFF"/>
              <w:left w:val="single" w:sz="4" w:space="0" w:color="FFFFFF"/>
              <w:bottom w:val="single" w:sz="4" w:space="0" w:color="FFFFFF"/>
              <w:right w:val="single" w:sz="4" w:space="0" w:color="FFFFFF"/>
            </w:tcBorders>
            <w:shd w:val="clear" w:color="auto" w:fill="F37973"/>
          </w:tcPr>
          <w:p w14:paraId="770CF24E" w14:textId="77777777" w:rsidR="00EF27EC" w:rsidRPr="00C000B2" w:rsidRDefault="00EF27EC" w:rsidP="00DC5A55">
            <w:pPr>
              <w:pStyle w:val="TableText"/>
              <w:jc w:val="center"/>
              <w:rPr>
                <w:b/>
              </w:rPr>
            </w:pPr>
            <w:r w:rsidRPr="00C000B2">
              <w:rPr>
                <w:b/>
              </w:rPr>
              <w:t>10</w:t>
            </w:r>
          </w:p>
        </w:tc>
        <w:tc>
          <w:tcPr>
            <w:tcW w:w="556" w:type="dxa"/>
            <w:tcBorders>
              <w:top w:val="single" w:sz="4" w:space="0" w:color="FFFFFF"/>
              <w:left w:val="single" w:sz="4" w:space="0" w:color="FFFFFF"/>
              <w:bottom w:val="single" w:sz="4" w:space="0" w:color="FFFFFF"/>
              <w:right w:val="nil"/>
            </w:tcBorders>
            <w:shd w:val="clear" w:color="auto" w:fill="FCD4CB"/>
          </w:tcPr>
          <w:p w14:paraId="46B89CC9" w14:textId="77777777" w:rsidR="00EF27EC" w:rsidRPr="00C000B2" w:rsidRDefault="00EF27EC" w:rsidP="00DC5A55">
            <w:pPr>
              <w:pStyle w:val="TableText"/>
              <w:jc w:val="center"/>
              <w:rPr>
                <w:b/>
              </w:rPr>
            </w:pPr>
            <w:r w:rsidRPr="00C000B2">
              <w:rPr>
                <w:b/>
              </w:rPr>
              <w:t>11</w:t>
            </w:r>
          </w:p>
        </w:tc>
      </w:tr>
      <w:tr w:rsidR="00EF27EC" w:rsidRPr="00C000B2" w14:paraId="4E26D412" w14:textId="77777777" w:rsidTr="00DC5A55">
        <w:trPr>
          <w:cantSplit/>
        </w:trPr>
        <w:tc>
          <w:tcPr>
            <w:tcW w:w="1418" w:type="dxa"/>
            <w:tcBorders>
              <w:top w:val="single" w:sz="4" w:space="0" w:color="A7A9AC"/>
              <w:left w:val="nil"/>
              <w:bottom w:val="single" w:sz="4" w:space="0" w:color="A7A9AC"/>
              <w:right w:val="nil"/>
            </w:tcBorders>
          </w:tcPr>
          <w:p w14:paraId="12170DD2" w14:textId="77777777" w:rsidR="00EF27EC" w:rsidRPr="00C000B2" w:rsidRDefault="00EF27EC" w:rsidP="00DC5A55">
            <w:pPr>
              <w:pStyle w:val="TableText"/>
              <w:rPr>
                <w:b/>
              </w:rPr>
            </w:pPr>
            <w:r w:rsidRPr="00C000B2">
              <w:rPr>
                <w:b/>
              </w:rPr>
              <w:t>Central Otago</w:t>
            </w:r>
          </w:p>
        </w:tc>
        <w:tc>
          <w:tcPr>
            <w:tcW w:w="555" w:type="dxa"/>
            <w:tcBorders>
              <w:top w:val="single" w:sz="4" w:space="0" w:color="FFFFFF"/>
              <w:left w:val="nil"/>
              <w:bottom w:val="single" w:sz="4" w:space="0" w:color="FFFFFF"/>
              <w:right w:val="single" w:sz="4" w:space="0" w:color="FFFFFF"/>
            </w:tcBorders>
            <w:shd w:val="clear" w:color="auto" w:fill="F37973"/>
          </w:tcPr>
          <w:p w14:paraId="1979E046" w14:textId="77777777" w:rsidR="00EF27EC" w:rsidRPr="00C000B2" w:rsidRDefault="00EF27EC" w:rsidP="00DC5A55">
            <w:pPr>
              <w:pStyle w:val="TableText"/>
              <w:jc w:val="center"/>
              <w:rPr>
                <w:b/>
              </w:rPr>
            </w:pPr>
            <w:r w:rsidRPr="00C000B2">
              <w:rPr>
                <w:b/>
              </w:rPr>
              <w:t>10</w:t>
            </w:r>
          </w:p>
        </w:tc>
        <w:tc>
          <w:tcPr>
            <w:tcW w:w="555" w:type="dxa"/>
            <w:tcBorders>
              <w:top w:val="single" w:sz="4" w:space="0" w:color="FFFFFF"/>
              <w:left w:val="single" w:sz="4" w:space="0" w:color="FFFFFF"/>
              <w:bottom w:val="single" w:sz="4" w:space="0" w:color="FFFFFF"/>
              <w:right w:val="single" w:sz="4" w:space="0" w:color="FFFFFF"/>
            </w:tcBorders>
            <w:shd w:val="clear" w:color="auto" w:fill="F37973"/>
          </w:tcPr>
          <w:p w14:paraId="739D8CA2" w14:textId="77777777" w:rsidR="00EF27EC" w:rsidRPr="00C000B2" w:rsidRDefault="00EF27EC" w:rsidP="00DC5A55">
            <w:pPr>
              <w:pStyle w:val="TableText"/>
              <w:jc w:val="center"/>
              <w:rPr>
                <w:b/>
              </w:rPr>
            </w:pPr>
            <w:r w:rsidRPr="00C000B2">
              <w:rPr>
                <w:b/>
              </w:rPr>
              <w:t>8</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7E290D52" w14:textId="77777777" w:rsidR="00EF27EC" w:rsidRPr="00C000B2" w:rsidRDefault="00EF27EC" w:rsidP="00DC5A55">
            <w:pPr>
              <w:pStyle w:val="TableText"/>
              <w:jc w:val="center"/>
              <w:rPr>
                <w:b/>
              </w:rPr>
            </w:pPr>
            <w:r w:rsidRPr="00C000B2">
              <w:rPr>
                <w:b/>
              </w:rPr>
              <w:t>5</w:t>
            </w:r>
          </w:p>
        </w:tc>
        <w:tc>
          <w:tcPr>
            <w:tcW w:w="555" w:type="dxa"/>
            <w:tcBorders>
              <w:top w:val="single" w:sz="4" w:space="0" w:color="FFFFFF"/>
              <w:left w:val="single" w:sz="4" w:space="0" w:color="FFFFFF"/>
              <w:bottom w:val="single" w:sz="4" w:space="0" w:color="FFFFFF"/>
              <w:right w:val="single" w:sz="4" w:space="0" w:color="FFFFFF"/>
            </w:tcBorders>
            <w:shd w:val="clear" w:color="auto" w:fill="7AC9AF"/>
          </w:tcPr>
          <w:p w14:paraId="07F10757" w14:textId="77777777" w:rsidR="00EF27EC" w:rsidRPr="00C000B2" w:rsidRDefault="00EF27EC" w:rsidP="00DC5A55">
            <w:pPr>
              <w:pStyle w:val="TableText"/>
              <w:jc w:val="center"/>
              <w:rPr>
                <w:b/>
              </w:rPr>
            </w:pPr>
            <w:r w:rsidRPr="00C000B2">
              <w:rPr>
                <w:b/>
              </w:rPr>
              <w:t>2</w:t>
            </w:r>
          </w:p>
        </w:tc>
        <w:tc>
          <w:tcPr>
            <w:tcW w:w="555" w:type="dxa"/>
            <w:tcBorders>
              <w:top w:val="single" w:sz="4" w:space="0" w:color="FFFFFF"/>
              <w:left w:val="single" w:sz="4" w:space="0" w:color="FFFFFF"/>
              <w:bottom w:val="single" w:sz="4" w:space="0" w:color="FFFFFF"/>
              <w:right w:val="single" w:sz="4" w:space="0" w:color="FFFFFF"/>
            </w:tcBorders>
            <w:shd w:val="clear" w:color="auto" w:fill="7AC9AF"/>
          </w:tcPr>
          <w:p w14:paraId="44B35485" w14:textId="77777777" w:rsidR="00EF27EC" w:rsidRPr="00C000B2" w:rsidRDefault="00EF27EC" w:rsidP="00DC5A55">
            <w:pPr>
              <w:pStyle w:val="TableText"/>
              <w:jc w:val="center"/>
              <w:rPr>
                <w:b/>
              </w:rPr>
            </w:pPr>
            <w:r w:rsidRPr="00C000B2">
              <w:rPr>
                <w:b/>
              </w:rPr>
              <w:t>1</w:t>
            </w:r>
          </w:p>
        </w:tc>
        <w:tc>
          <w:tcPr>
            <w:tcW w:w="556" w:type="dxa"/>
            <w:tcBorders>
              <w:top w:val="single" w:sz="4" w:space="0" w:color="FFFFFF"/>
              <w:left w:val="single" w:sz="4" w:space="0" w:color="FFFFFF"/>
              <w:bottom w:val="single" w:sz="4" w:space="0" w:color="FFFFFF"/>
              <w:right w:val="single" w:sz="4" w:space="0" w:color="FFFFFF"/>
            </w:tcBorders>
            <w:shd w:val="clear" w:color="auto" w:fill="7AC9AF"/>
          </w:tcPr>
          <w:p w14:paraId="2EBE49D6" w14:textId="77777777" w:rsidR="00EF27EC" w:rsidRPr="00C000B2" w:rsidRDefault="00EF27EC" w:rsidP="00DC5A55">
            <w:pPr>
              <w:pStyle w:val="TableText"/>
              <w:jc w:val="center"/>
              <w:rPr>
                <w:b/>
              </w:rPr>
            </w:pPr>
            <w:r w:rsidRPr="00C000B2">
              <w:rPr>
                <w:b/>
              </w:rPr>
              <w:t>1</w:t>
            </w:r>
          </w:p>
        </w:tc>
        <w:tc>
          <w:tcPr>
            <w:tcW w:w="555" w:type="dxa"/>
            <w:tcBorders>
              <w:top w:val="single" w:sz="4" w:space="0" w:color="FFFFFF"/>
              <w:left w:val="single" w:sz="4" w:space="0" w:color="FFFFFF"/>
              <w:bottom w:val="single" w:sz="4" w:space="0" w:color="FFFFFF"/>
              <w:right w:val="single" w:sz="4" w:space="0" w:color="FFFFFF"/>
            </w:tcBorders>
            <w:shd w:val="clear" w:color="auto" w:fill="7AC9AF"/>
          </w:tcPr>
          <w:p w14:paraId="55235036" w14:textId="77777777" w:rsidR="00EF27EC" w:rsidRPr="00C000B2" w:rsidRDefault="00EF27EC" w:rsidP="00DC5A55">
            <w:pPr>
              <w:pStyle w:val="TableText"/>
              <w:jc w:val="center"/>
              <w:rPr>
                <w:b/>
              </w:rPr>
            </w:pPr>
            <w:r w:rsidRPr="00C000B2">
              <w:rPr>
                <w:b/>
              </w:rPr>
              <w:t>1</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46C90DAB" w14:textId="77777777" w:rsidR="00EF27EC" w:rsidRPr="00C000B2" w:rsidRDefault="00EF27EC" w:rsidP="00DC5A55">
            <w:pPr>
              <w:pStyle w:val="TableText"/>
              <w:jc w:val="center"/>
              <w:rPr>
                <w:b/>
              </w:rPr>
            </w:pPr>
            <w:r w:rsidRPr="00C000B2">
              <w:rPr>
                <w:b/>
              </w:rPr>
              <w:t>3</w:t>
            </w:r>
          </w:p>
        </w:tc>
        <w:tc>
          <w:tcPr>
            <w:tcW w:w="555" w:type="dxa"/>
            <w:tcBorders>
              <w:top w:val="single" w:sz="4" w:space="0" w:color="FFFFFF"/>
              <w:left w:val="single" w:sz="4" w:space="0" w:color="FFFFFF"/>
              <w:bottom w:val="single" w:sz="4" w:space="0" w:color="FFFFFF"/>
              <w:right w:val="single" w:sz="4" w:space="0" w:color="FFFFFF"/>
            </w:tcBorders>
            <w:shd w:val="clear" w:color="auto" w:fill="F4E2C2"/>
          </w:tcPr>
          <w:p w14:paraId="2A1E4219" w14:textId="77777777" w:rsidR="00EF27EC" w:rsidRPr="00C000B2" w:rsidRDefault="00EF27EC" w:rsidP="00DC5A55">
            <w:pPr>
              <w:pStyle w:val="TableText"/>
              <w:jc w:val="center"/>
              <w:rPr>
                <w:b/>
              </w:rPr>
            </w:pPr>
            <w:r w:rsidRPr="00C000B2">
              <w:rPr>
                <w:b/>
              </w:rPr>
              <w:t>4</w:t>
            </w:r>
          </w:p>
        </w:tc>
        <w:tc>
          <w:tcPr>
            <w:tcW w:w="555" w:type="dxa"/>
            <w:tcBorders>
              <w:top w:val="single" w:sz="4" w:space="0" w:color="FFFFFF"/>
              <w:left w:val="single" w:sz="4" w:space="0" w:color="FFFFFF"/>
              <w:bottom w:val="single" w:sz="4" w:space="0" w:color="FFFFFF"/>
              <w:right w:val="single" w:sz="4" w:space="0" w:color="FFFFFF"/>
            </w:tcBorders>
            <w:shd w:val="clear" w:color="auto" w:fill="E7C176"/>
          </w:tcPr>
          <w:p w14:paraId="65DA7EEA" w14:textId="77777777" w:rsidR="00EF27EC" w:rsidRPr="00C000B2" w:rsidRDefault="00EF27EC" w:rsidP="00DC5A55">
            <w:pPr>
              <w:pStyle w:val="TableText"/>
              <w:jc w:val="center"/>
              <w:rPr>
                <w:b/>
              </w:rPr>
            </w:pPr>
            <w:r w:rsidRPr="00C000B2">
              <w:rPr>
                <w:b/>
              </w:rPr>
              <w:t>7</w:t>
            </w:r>
          </w:p>
        </w:tc>
        <w:tc>
          <w:tcPr>
            <w:tcW w:w="555" w:type="dxa"/>
            <w:tcBorders>
              <w:top w:val="single" w:sz="4" w:space="0" w:color="FFFFFF"/>
              <w:left w:val="single" w:sz="4" w:space="0" w:color="FFFFFF"/>
              <w:bottom w:val="single" w:sz="4" w:space="0" w:color="FFFFFF"/>
              <w:right w:val="single" w:sz="4" w:space="0" w:color="FFFFFF"/>
            </w:tcBorders>
            <w:shd w:val="clear" w:color="auto" w:fill="F37973"/>
          </w:tcPr>
          <w:p w14:paraId="0A43BBF1" w14:textId="77777777" w:rsidR="00EF27EC" w:rsidRPr="00C000B2" w:rsidRDefault="00EF27EC" w:rsidP="00DC5A55">
            <w:pPr>
              <w:pStyle w:val="TableText"/>
              <w:jc w:val="center"/>
              <w:rPr>
                <w:b/>
              </w:rPr>
            </w:pPr>
            <w:r w:rsidRPr="00C000B2">
              <w:rPr>
                <w:b/>
              </w:rPr>
              <w:t>10</w:t>
            </w:r>
          </w:p>
        </w:tc>
        <w:tc>
          <w:tcPr>
            <w:tcW w:w="556" w:type="dxa"/>
            <w:tcBorders>
              <w:top w:val="single" w:sz="4" w:space="0" w:color="FFFFFF"/>
              <w:left w:val="single" w:sz="4" w:space="0" w:color="FFFFFF"/>
              <w:bottom w:val="single" w:sz="4" w:space="0" w:color="FFFFFF"/>
              <w:right w:val="nil"/>
            </w:tcBorders>
            <w:shd w:val="clear" w:color="auto" w:fill="FCD4CB"/>
          </w:tcPr>
          <w:p w14:paraId="638DB35D" w14:textId="77777777" w:rsidR="00EF27EC" w:rsidRPr="00C000B2" w:rsidRDefault="00EF27EC" w:rsidP="00DC5A55">
            <w:pPr>
              <w:pStyle w:val="TableText"/>
              <w:jc w:val="center"/>
              <w:rPr>
                <w:b/>
              </w:rPr>
            </w:pPr>
            <w:r w:rsidRPr="00C000B2">
              <w:rPr>
                <w:b/>
              </w:rPr>
              <w:t>11</w:t>
            </w:r>
          </w:p>
        </w:tc>
      </w:tr>
      <w:tr w:rsidR="00EF27EC" w:rsidRPr="00C000B2" w14:paraId="76B2F7B3" w14:textId="77777777" w:rsidTr="00DC5A55">
        <w:trPr>
          <w:cantSplit/>
        </w:trPr>
        <w:tc>
          <w:tcPr>
            <w:tcW w:w="1418" w:type="dxa"/>
            <w:tcBorders>
              <w:top w:val="single" w:sz="4" w:space="0" w:color="A7A9AC"/>
              <w:left w:val="nil"/>
              <w:bottom w:val="single" w:sz="8" w:space="0" w:color="20473C"/>
              <w:right w:val="nil"/>
            </w:tcBorders>
          </w:tcPr>
          <w:p w14:paraId="42A295D9" w14:textId="77777777" w:rsidR="00EF27EC" w:rsidRPr="00C000B2" w:rsidRDefault="00EF27EC" w:rsidP="00DC5A55">
            <w:pPr>
              <w:pStyle w:val="TableText"/>
              <w:rPr>
                <w:b/>
              </w:rPr>
            </w:pPr>
            <w:r w:rsidRPr="00C000B2">
              <w:rPr>
                <w:b/>
              </w:rPr>
              <w:t>Invercargill</w:t>
            </w:r>
          </w:p>
        </w:tc>
        <w:tc>
          <w:tcPr>
            <w:tcW w:w="555" w:type="dxa"/>
            <w:tcBorders>
              <w:top w:val="single" w:sz="4" w:space="0" w:color="FFFFFF"/>
              <w:left w:val="nil"/>
              <w:bottom w:val="single" w:sz="8" w:space="0" w:color="20473C"/>
              <w:right w:val="single" w:sz="4" w:space="0" w:color="FFFFFF"/>
            </w:tcBorders>
            <w:shd w:val="clear" w:color="auto" w:fill="F37973"/>
          </w:tcPr>
          <w:p w14:paraId="725B8177" w14:textId="77777777" w:rsidR="00EF27EC" w:rsidRPr="00C000B2" w:rsidRDefault="00EF27EC" w:rsidP="00DC5A55">
            <w:pPr>
              <w:pStyle w:val="TableText"/>
              <w:jc w:val="center"/>
              <w:rPr>
                <w:b/>
              </w:rPr>
            </w:pPr>
            <w:r w:rsidRPr="00C000B2">
              <w:rPr>
                <w:b/>
              </w:rPr>
              <w:t>8</w:t>
            </w:r>
          </w:p>
        </w:tc>
        <w:tc>
          <w:tcPr>
            <w:tcW w:w="555" w:type="dxa"/>
            <w:tcBorders>
              <w:top w:val="single" w:sz="4" w:space="0" w:color="FFFFFF"/>
              <w:left w:val="single" w:sz="4" w:space="0" w:color="FFFFFF"/>
              <w:bottom w:val="single" w:sz="8" w:space="0" w:color="20473C"/>
              <w:right w:val="single" w:sz="4" w:space="0" w:color="FFFFFF"/>
            </w:tcBorders>
            <w:shd w:val="clear" w:color="auto" w:fill="E7C176"/>
          </w:tcPr>
          <w:p w14:paraId="3B82B80E" w14:textId="77777777" w:rsidR="00EF27EC" w:rsidRPr="00C000B2" w:rsidRDefault="00EF27EC" w:rsidP="00DC5A55">
            <w:pPr>
              <w:pStyle w:val="TableText"/>
              <w:jc w:val="center"/>
              <w:rPr>
                <w:b/>
              </w:rPr>
            </w:pPr>
            <w:r w:rsidRPr="00C000B2">
              <w:rPr>
                <w:b/>
              </w:rPr>
              <w:t>7</w:t>
            </w:r>
          </w:p>
        </w:tc>
        <w:tc>
          <w:tcPr>
            <w:tcW w:w="555" w:type="dxa"/>
            <w:tcBorders>
              <w:top w:val="single" w:sz="4" w:space="0" w:color="FFFFFF"/>
              <w:left w:val="single" w:sz="4" w:space="0" w:color="FFFFFF"/>
              <w:bottom w:val="single" w:sz="8" w:space="0" w:color="20473C"/>
              <w:right w:val="single" w:sz="4" w:space="0" w:color="FFFFFF"/>
            </w:tcBorders>
            <w:shd w:val="clear" w:color="auto" w:fill="F4E2C2"/>
          </w:tcPr>
          <w:p w14:paraId="20DBB473" w14:textId="77777777" w:rsidR="00EF27EC" w:rsidRPr="00C000B2" w:rsidRDefault="00EF27EC" w:rsidP="00DC5A55">
            <w:pPr>
              <w:pStyle w:val="TableText"/>
              <w:jc w:val="center"/>
              <w:rPr>
                <w:b/>
              </w:rPr>
            </w:pPr>
            <w:r w:rsidRPr="00C000B2">
              <w:rPr>
                <w:b/>
              </w:rPr>
              <w:t>4</w:t>
            </w:r>
          </w:p>
        </w:tc>
        <w:tc>
          <w:tcPr>
            <w:tcW w:w="555" w:type="dxa"/>
            <w:tcBorders>
              <w:top w:val="single" w:sz="4" w:space="0" w:color="FFFFFF"/>
              <w:left w:val="single" w:sz="4" w:space="0" w:color="FFFFFF"/>
              <w:bottom w:val="single" w:sz="8" w:space="0" w:color="20473C"/>
              <w:right w:val="single" w:sz="4" w:space="0" w:color="FFFFFF"/>
            </w:tcBorders>
            <w:shd w:val="clear" w:color="auto" w:fill="7AC9AF"/>
          </w:tcPr>
          <w:p w14:paraId="27A65E92" w14:textId="77777777" w:rsidR="00EF27EC" w:rsidRPr="00C000B2" w:rsidRDefault="00EF27EC" w:rsidP="00DC5A55">
            <w:pPr>
              <w:pStyle w:val="TableText"/>
              <w:jc w:val="center"/>
              <w:rPr>
                <w:b/>
              </w:rPr>
            </w:pPr>
            <w:r w:rsidRPr="00C000B2">
              <w:rPr>
                <w:b/>
              </w:rPr>
              <w:t>2</w:t>
            </w:r>
          </w:p>
        </w:tc>
        <w:tc>
          <w:tcPr>
            <w:tcW w:w="555" w:type="dxa"/>
            <w:tcBorders>
              <w:top w:val="single" w:sz="4" w:space="0" w:color="FFFFFF"/>
              <w:left w:val="single" w:sz="4" w:space="0" w:color="FFFFFF"/>
              <w:bottom w:val="single" w:sz="8" w:space="0" w:color="20473C"/>
              <w:right w:val="single" w:sz="4" w:space="0" w:color="FFFFFF"/>
            </w:tcBorders>
            <w:shd w:val="clear" w:color="auto" w:fill="7AC9AF"/>
          </w:tcPr>
          <w:p w14:paraId="3486C2C2" w14:textId="77777777" w:rsidR="00EF27EC" w:rsidRPr="00C000B2" w:rsidRDefault="00EF27EC" w:rsidP="00DC5A55">
            <w:pPr>
              <w:pStyle w:val="TableText"/>
              <w:jc w:val="center"/>
              <w:rPr>
                <w:b/>
              </w:rPr>
            </w:pPr>
            <w:r w:rsidRPr="00C000B2">
              <w:rPr>
                <w:b/>
              </w:rPr>
              <w:t>1</w:t>
            </w:r>
          </w:p>
        </w:tc>
        <w:tc>
          <w:tcPr>
            <w:tcW w:w="556" w:type="dxa"/>
            <w:tcBorders>
              <w:top w:val="single" w:sz="4" w:space="0" w:color="FFFFFF"/>
              <w:left w:val="single" w:sz="4" w:space="0" w:color="FFFFFF"/>
              <w:bottom w:val="single" w:sz="8" w:space="0" w:color="20473C"/>
              <w:right w:val="single" w:sz="4" w:space="0" w:color="FFFFFF"/>
            </w:tcBorders>
            <w:shd w:val="clear" w:color="auto" w:fill="7AC9AF"/>
          </w:tcPr>
          <w:p w14:paraId="30EA5D66" w14:textId="77777777" w:rsidR="00EF27EC" w:rsidRPr="00C000B2" w:rsidRDefault="00EF27EC" w:rsidP="00DC5A55">
            <w:pPr>
              <w:pStyle w:val="TableText"/>
              <w:jc w:val="center"/>
              <w:rPr>
                <w:b/>
              </w:rPr>
            </w:pPr>
            <w:r w:rsidRPr="00C000B2">
              <w:rPr>
                <w:b/>
              </w:rPr>
              <w:t>1</w:t>
            </w:r>
          </w:p>
        </w:tc>
        <w:tc>
          <w:tcPr>
            <w:tcW w:w="555" w:type="dxa"/>
            <w:tcBorders>
              <w:top w:val="single" w:sz="4" w:space="0" w:color="FFFFFF"/>
              <w:left w:val="single" w:sz="4" w:space="0" w:color="FFFFFF"/>
              <w:bottom w:val="single" w:sz="8" w:space="0" w:color="20473C"/>
              <w:right w:val="single" w:sz="4" w:space="0" w:color="FFFFFF"/>
            </w:tcBorders>
            <w:shd w:val="clear" w:color="auto" w:fill="7AC9AF"/>
          </w:tcPr>
          <w:p w14:paraId="2A0DF27D" w14:textId="77777777" w:rsidR="00EF27EC" w:rsidRPr="00C000B2" w:rsidRDefault="00EF27EC" w:rsidP="00DC5A55">
            <w:pPr>
              <w:pStyle w:val="TableText"/>
              <w:jc w:val="center"/>
              <w:rPr>
                <w:b/>
              </w:rPr>
            </w:pPr>
            <w:r w:rsidRPr="00C000B2">
              <w:rPr>
                <w:b/>
              </w:rPr>
              <w:t>1</w:t>
            </w:r>
          </w:p>
        </w:tc>
        <w:tc>
          <w:tcPr>
            <w:tcW w:w="555" w:type="dxa"/>
            <w:tcBorders>
              <w:top w:val="single" w:sz="4" w:space="0" w:color="FFFFFF"/>
              <w:left w:val="single" w:sz="4" w:space="0" w:color="FFFFFF"/>
              <w:bottom w:val="single" w:sz="8" w:space="0" w:color="20473C"/>
              <w:right w:val="single" w:sz="4" w:space="0" w:color="FFFFFF"/>
            </w:tcBorders>
            <w:shd w:val="clear" w:color="auto" w:fill="7AC9AF"/>
          </w:tcPr>
          <w:p w14:paraId="741C767B" w14:textId="77777777" w:rsidR="00EF27EC" w:rsidRPr="00C000B2" w:rsidRDefault="00EF27EC" w:rsidP="00DC5A55">
            <w:pPr>
              <w:pStyle w:val="TableText"/>
              <w:jc w:val="center"/>
              <w:rPr>
                <w:b/>
              </w:rPr>
            </w:pPr>
            <w:r w:rsidRPr="00C000B2">
              <w:rPr>
                <w:b/>
              </w:rPr>
              <w:t>2</w:t>
            </w:r>
          </w:p>
        </w:tc>
        <w:tc>
          <w:tcPr>
            <w:tcW w:w="555" w:type="dxa"/>
            <w:tcBorders>
              <w:top w:val="single" w:sz="4" w:space="0" w:color="FFFFFF"/>
              <w:left w:val="single" w:sz="4" w:space="0" w:color="FFFFFF"/>
              <w:bottom w:val="single" w:sz="8" w:space="0" w:color="20473C"/>
              <w:right w:val="single" w:sz="4" w:space="0" w:color="FFFFFF"/>
            </w:tcBorders>
            <w:shd w:val="clear" w:color="auto" w:fill="7AC9AF"/>
          </w:tcPr>
          <w:p w14:paraId="02FA3B0F" w14:textId="77777777" w:rsidR="00EF27EC" w:rsidRPr="00C000B2" w:rsidRDefault="00EF27EC" w:rsidP="00DC5A55">
            <w:pPr>
              <w:pStyle w:val="TableText"/>
              <w:jc w:val="center"/>
              <w:rPr>
                <w:b/>
              </w:rPr>
            </w:pPr>
            <w:r w:rsidRPr="00C000B2">
              <w:rPr>
                <w:b/>
              </w:rPr>
              <w:t>3</w:t>
            </w:r>
          </w:p>
        </w:tc>
        <w:tc>
          <w:tcPr>
            <w:tcW w:w="555" w:type="dxa"/>
            <w:tcBorders>
              <w:top w:val="single" w:sz="4" w:space="0" w:color="FFFFFF"/>
              <w:left w:val="single" w:sz="4" w:space="0" w:color="FFFFFF"/>
              <w:bottom w:val="single" w:sz="8" w:space="0" w:color="20473C"/>
              <w:right w:val="single" w:sz="4" w:space="0" w:color="FFFFFF"/>
            </w:tcBorders>
            <w:shd w:val="clear" w:color="auto" w:fill="F4E2C2"/>
          </w:tcPr>
          <w:p w14:paraId="54B850FD" w14:textId="77777777" w:rsidR="00EF27EC" w:rsidRPr="00C000B2" w:rsidRDefault="00EF27EC" w:rsidP="00DC5A55">
            <w:pPr>
              <w:pStyle w:val="TableText"/>
              <w:jc w:val="center"/>
              <w:rPr>
                <w:b/>
              </w:rPr>
            </w:pPr>
            <w:r w:rsidRPr="00C000B2">
              <w:rPr>
                <w:b/>
              </w:rPr>
              <w:t>5</w:t>
            </w:r>
          </w:p>
        </w:tc>
        <w:tc>
          <w:tcPr>
            <w:tcW w:w="555" w:type="dxa"/>
            <w:tcBorders>
              <w:top w:val="single" w:sz="4" w:space="0" w:color="FFFFFF"/>
              <w:left w:val="single" w:sz="4" w:space="0" w:color="FFFFFF"/>
              <w:bottom w:val="single" w:sz="8" w:space="0" w:color="20473C"/>
              <w:right w:val="single" w:sz="4" w:space="0" w:color="FFFFFF"/>
            </w:tcBorders>
            <w:shd w:val="clear" w:color="auto" w:fill="F37973"/>
          </w:tcPr>
          <w:p w14:paraId="3E07F000" w14:textId="77777777" w:rsidR="00EF27EC" w:rsidRPr="00C000B2" w:rsidRDefault="00EF27EC" w:rsidP="00DC5A55">
            <w:pPr>
              <w:pStyle w:val="TableText"/>
              <w:jc w:val="center"/>
              <w:rPr>
                <w:b/>
              </w:rPr>
            </w:pPr>
            <w:r w:rsidRPr="00C000B2">
              <w:rPr>
                <w:b/>
              </w:rPr>
              <w:t>9</w:t>
            </w:r>
          </w:p>
        </w:tc>
        <w:tc>
          <w:tcPr>
            <w:tcW w:w="556" w:type="dxa"/>
            <w:tcBorders>
              <w:top w:val="single" w:sz="4" w:space="0" w:color="FFFFFF"/>
              <w:left w:val="single" w:sz="4" w:space="0" w:color="FFFFFF"/>
              <w:bottom w:val="single" w:sz="8" w:space="0" w:color="20473C"/>
              <w:right w:val="nil"/>
            </w:tcBorders>
            <w:shd w:val="clear" w:color="auto" w:fill="F37973"/>
          </w:tcPr>
          <w:p w14:paraId="518F04AB" w14:textId="77777777" w:rsidR="00EF27EC" w:rsidRPr="00C000B2" w:rsidRDefault="00EF27EC" w:rsidP="00DC5A55">
            <w:pPr>
              <w:pStyle w:val="TableText"/>
              <w:jc w:val="center"/>
              <w:rPr>
                <w:b/>
              </w:rPr>
            </w:pPr>
            <w:r w:rsidRPr="00C000B2">
              <w:rPr>
                <w:b/>
              </w:rPr>
              <w:t>10</w:t>
            </w:r>
          </w:p>
        </w:tc>
      </w:tr>
    </w:tbl>
    <w:p w14:paraId="4AD5773A" w14:textId="77777777" w:rsidR="00A15BFC" w:rsidRDefault="00A15BFC" w:rsidP="00DC5A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2658"/>
      </w:tblGrid>
      <w:tr w:rsidR="00A15BFC" w14:paraId="539B0CFE" w14:textId="77777777" w:rsidTr="00A15BFC">
        <w:trPr>
          <w:cantSplit/>
        </w:trPr>
        <w:tc>
          <w:tcPr>
            <w:tcW w:w="5637" w:type="dxa"/>
          </w:tcPr>
          <w:p w14:paraId="7A4BC6CE" w14:textId="77777777" w:rsidR="00A15BFC" w:rsidRPr="00A15BFC" w:rsidRDefault="00A15BFC" w:rsidP="00A15BFC">
            <w:pPr>
              <w:pStyle w:val="Figure"/>
              <w:rPr>
                <w:rFonts w:ascii="Verdana"/>
              </w:rPr>
            </w:pPr>
            <w:bookmarkStart w:id="180" w:name="_Ref94868024"/>
            <w:bookmarkStart w:id="181" w:name="_Toc95059149"/>
            <w:r>
              <w:lastRenderedPageBreak/>
              <w:t>Figure </w:t>
            </w:r>
            <w:r w:rsidR="00F50B6E">
              <w:fldChar w:fldCharType="begin"/>
            </w:r>
            <w:r w:rsidR="00F50B6E">
              <w:instrText xml:space="preserve"> SEQ Figure \* ARABIC </w:instrText>
            </w:r>
            <w:r w:rsidR="00F50B6E">
              <w:fldChar w:fldCharType="separate"/>
            </w:r>
            <w:r w:rsidR="006E6019">
              <w:rPr>
                <w:noProof/>
              </w:rPr>
              <w:t>28</w:t>
            </w:r>
            <w:r w:rsidR="00F50B6E">
              <w:rPr>
                <w:noProof/>
              </w:rPr>
              <w:fldChar w:fldCharType="end"/>
            </w:r>
            <w:bookmarkEnd w:id="180"/>
            <w:r>
              <w:t>: SunSmart messaging</w:t>
            </w:r>
            <w:r>
              <w:rPr>
                <w:vertAlign w:val="superscript"/>
              </w:rPr>
              <w:t>332</w:t>
            </w:r>
            <w:bookmarkEnd w:id="181"/>
          </w:p>
          <w:p w14:paraId="4816CBC4" w14:textId="77777777" w:rsidR="00A15BFC" w:rsidRDefault="00A15BFC" w:rsidP="00DC5A55">
            <w:r>
              <w:rPr>
                <w:noProof/>
                <w:lang w:eastAsia="en-NZ"/>
              </w:rPr>
              <w:drawing>
                <wp:inline distT="0" distB="0" distL="0" distR="0" wp14:anchorId="49FA4183" wp14:editId="5D6BBF38">
                  <wp:extent cx="3466769" cy="4833149"/>
                  <wp:effectExtent l="0" t="0" r="635" b="5715"/>
                  <wp:docPr id="1700" name="Picture 1700" descr="Be SunSmart: Being SunSmart is about protecting skin and eyes form damaging UV radiation - especially when outdoors from September to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Picture 1700" descr="Be SunSmart: Being SunSmart is about protecting skin and eyes form damaging UV radiation - especially when outdoors from September to April."/>
                          <pic:cNvPicPr/>
                        </pic:nvPicPr>
                        <pic:blipFill>
                          <a:blip r:embed="rId60">
                            <a:extLst>
                              <a:ext uri="{28A0092B-C50C-407E-A947-70E740481C1C}">
                                <a14:useLocalDpi xmlns:a14="http://schemas.microsoft.com/office/drawing/2010/main" val="0"/>
                              </a:ext>
                            </a:extLst>
                          </a:blip>
                          <a:stretch>
                            <a:fillRect/>
                          </a:stretch>
                        </pic:blipFill>
                        <pic:spPr>
                          <a:xfrm>
                            <a:off x="0" y="0"/>
                            <a:ext cx="3468146" cy="4835069"/>
                          </a:xfrm>
                          <a:prstGeom prst="rect">
                            <a:avLst/>
                          </a:prstGeom>
                        </pic:spPr>
                      </pic:pic>
                    </a:graphicData>
                  </a:graphic>
                </wp:inline>
              </w:drawing>
            </w:r>
          </w:p>
        </w:tc>
        <w:tc>
          <w:tcPr>
            <w:tcW w:w="2658" w:type="dxa"/>
            <w:vAlign w:val="center"/>
          </w:tcPr>
          <w:p w14:paraId="2D93ECA8" w14:textId="77777777" w:rsidR="00A15BFC" w:rsidRPr="00C000B2" w:rsidRDefault="00A15BFC" w:rsidP="00A15BFC">
            <w:r w:rsidRPr="00C000B2">
              <w:t>In Aotearoa, exposure to excessive UV radiation is estimated through regular population-based surveys of the proportion of people experiencing sunburn.</w:t>
            </w:r>
            <w:r w:rsidRPr="00A15BFC">
              <w:rPr>
                <w:vertAlign w:val="superscript"/>
              </w:rPr>
              <w:t>333, 334</w:t>
            </w:r>
          </w:p>
          <w:p w14:paraId="1EEAA354" w14:textId="77777777" w:rsidR="00A15BFC" w:rsidRPr="00C000B2" w:rsidRDefault="00A15BFC" w:rsidP="00A15BFC"/>
          <w:p w14:paraId="2A888D22" w14:textId="77777777" w:rsidR="00A15BFC" w:rsidRDefault="00A15BFC" w:rsidP="00A15BFC">
            <w:r w:rsidRPr="00C000B2">
              <w:t>In 2018, more than half (52</w:t>
            </w:r>
            <w:r>
              <w:t> </w:t>
            </w:r>
            <w:r w:rsidRPr="00C000B2">
              <w:t>percent) of all adults (aged 15</w:t>
            </w:r>
            <w:r>
              <w:t> </w:t>
            </w:r>
            <w:r w:rsidRPr="00C000B2">
              <w:t>years or over) had experienced at least one episode of sunburn in the preceding spring or summer, including 12</w:t>
            </w:r>
            <w:r>
              <w:t> </w:t>
            </w:r>
            <w:r w:rsidRPr="00C000B2">
              <w:t>percent who had severe</w:t>
            </w:r>
            <w:r>
              <w:t xml:space="preserve"> </w:t>
            </w:r>
            <w:r w:rsidRPr="00C000B2">
              <w:t>sunburn (with blisters and/or pain for two or more days) (</w:t>
            </w:r>
            <w:r>
              <w:fldChar w:fldCharType="begin"/>
            </w:r>
            <w:r>
              <w:instrText xml:space="preserve"> REF _Ref94867889 \h </w:instrText>
            </w:r>
            <w:r>
              <w:fldChar w:fldCharType="separate"/>
            </w:r>
            <w:r w:rsidR="006E6019">
              <w:t>Figure </w:t>
            </w:r>
            <w:r w:rsidR="006E6019">
              <w:rPr>
                <w:noProof/>
              </w:rPr>
              <w:t>29</w:t>
            </w:r>
            <w:r>
              <w:fldChar w:fldCharType="end"/>
            </w:r>
            <w:r w:rsidRPr="00C000B2">
              <w:t>).</w:t>
            </w:r>
            <w:r w:rsidRPr="00A15BFC">
              <w:rPr>
                <w:vertAlign w:val="superscript"/>
              </w:rPr>
              <w:t>333</w:t>
            </w:r>
          </w:p>
        </w:tc>
      </w:tr>
    </w:tbl>
    <w:p w14:paraId="7E4E5C96" w14:textId="77777777" w:rsidR="00A15BFC" w:rsidRPr="00C000B2" w:rsidRDefault="00A15BFC" w:rsidP="00DC5A55"/>
    <w:p w14:paraId="1F42F169" w14:textId="77777777" w:rsidR="00EF27EC" w:rsidRPr="00A15BFC" w:rsidRDefault="00A15BFC" w:rsidP="00A15BFC">
      <w:pPr>
        <w:pStyle w:val="Figure"/>
        <w:rPr>
          <w:b w:val="0"/>
        </w:rPr>
      </w:pPr>
      <w:bookmarkStart w:id="182" w:name="_Ref94867889"/>
      <w:bookmarkStart w:id="183" w:name="_Toc95059150"/>
      <w:r>
        <w:t>Figure </w:t>
      </w:r>
      <w:r w:rsidR="00F50B6E">
        <w:fldChar w:fldCharType="begin"/>
      </w:r>
      <w:r w:rsidR="00F50B6E">
        <w:instrText xml:space="preserve"> SEQ Figure \* ARABIC </w:instrText>
      </w:r>
      <w:r w:rsidR="00F50B6E">
        <w:fldChar w:fldCharType="separate"/>
      </w:r>
      <w:r w:rsidR="006E6019">
        <w:rPr>
          <w:noProof/>
        </w:rPr>
        <w:t>29</w:t>
      </w:r>
      <w:r w:rsidR="00F50B6E">
        <w:rPr>
          <w:noProof/>
        </w:rPr>
        <w:fldChar w:fldCharType="end"/>
      </w:r>
      <w:bookmarkStart w:id="184" w:name="Figure_29:_Proportion_of_adults_experien"/>
      <w:bookmarkStart w:id="185" w:name="Figure_30:_Proportion_of_adults_wearing_"/>
      <w:bookmarkStart w:id="186" w:name="_bookmark32"/>
      <w:bookmarkEnd w:id="182"/>
      <w:bookmarkEnd w:id="184"/>
      <w:bookmarkEnd w:id="185"/>
      <w:bookmarkEnd w:id="186"/>
      <w:r>
        <w:t>:</w:t>
      </w:r>
      <w:r w:rsidR="00EF27EC" w:rsidRPr="00C000B2">
        <w:t xml:space="preserve"> Proportion of adults experiencing sunburn in spring and summer of</w:t>
      </w:r>
      <w:r>
        <w:br/>
      </w:r>
      <w:r w:rsidR="00EF27EC" w:rsidRPr="00C000B2">
        <w:t>2017–2018</w:t>
      </w:r>
      <w:r w:rsidR="00EF27EC" w:rsidRPr="00A15BFC">
        <w:rPr>
          <w:b w:val="0"/>
          <w:vertAlign w:val="superscript"/>
        </w:rPr>
        <w:t>333</w:t>
      </w:r>
      <w:bookmarkEnd w:id="183"/>
    </w:p>
    <w:p w14:paraId="663419FD" w14:textId="77777777" w:rsidR="00A15BFC" w:rsidRDefault="00A15BFC" w:rsidP="00A15BFC">
      <w:r>
        <w:rPr>
          <w:noProof/>
          <w:lang w:eastAsia="en-NZ"/>
        </w:rPr>
        <w:drawing>
          <wp:inline distT="0" distB="0" distL="0" distR="0" wp14:anchorId="1DC00FFB" wp14:editId="6C31D9FC">
            <wp:extent cx="2162755" cy="2080970"/>
            <wp:effectExtent l="0" t="0" r="9525" b="0"/>
            <wp:docPr id="1701" name="Picture 1701" title="Figure 29: Proportion of adults experiencing sunburn in spring and summer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163545" cy="2081730"/>
                    </a:xfrm>
                    <a:prstGeom prst="rect">
                      <a:avLst/>
                    </a:prstGeom>
                  </pic:spPr>
                </pic:pic>
              </a:graphicData>
            </a:graphic>
          </wp:inline>
        </w:drawing>
      </w:r>
    </w:p>
    <w:p w14:paraId="77D5FEBC" w14:textId="77777777" w:rsidR="00A15BFC" w:rsidRDefault="00A15BFC" w:rsidP="00A15BFC"/>
    <w:p w14:paraId="679A6DDA" w14:textId="77777777" w:rsidR="00EF27EC" w:rsidRPr="00A15BFC" w:rsidRDefault="00EF27EC" w:rsidP="00A15BFC">
      <w:r w:rsidRPr="00C000B2">
        <w:t>Men and those aged 15–24 years had the highest rates of severe sunburn, and rates were similar for Māori and non-Māori. The proportion of people with severe sunburn increased significantly between 2014 and 2018.</w:t>
      </w:r>
      <w:r w:rsidRPr="00A15BFC">
        <w:rPr>
          <w:vertAlign w:val="superscript"/>
        </w:rPr>
        <w:t>333</w:t>
      </w:r>
    </w:p>
    <w:p w14:paraId="2A753244" w14:textId="77777777" w:rsidR="00A15BFC" w:rsidRDefault="00A15BFC" w:rsidP="00A15BFC"/>
    <w:p w14:paraId="6D162E05" w14:textId="77777777" w:rsidR="00EF27EC" w:rsidRPr="00C000B2" w:rsidRDefault="00EF27EC" w:rsidP="00A15BFC">
      <w:r w:rsidRPr="00C000B2">
        <w:lastRenderedPageBreak/>
        <w:t>Although awareness of SunSmart messaging (</w:t>
      </w:r>
      <w:r w:rsidR="00A15BFC">
        <w:fldChar w:fldCharType="begin"/>
      </w:r>
      <w:r w:rsidR="00A15BFC">
        <w:instrText xml:space="preserve"> REF _Ref94868024 \h </w:instrText>
      </w:r>
      <w:r w:rsidR="00A15BFC">
        <w:fldChar w:fldCharType="separate"/>
      </w:r>
      <w:r w:rsidR="006E6019">
        <w:t>Figure </w:t>
      </w:r>
      <w:r w:rsidR="006E6019">
        <w:rPr>
          <w:noProof/>
        </w:rPr>
        <w:t>28</w:t>
      </w:r>
      <w:r w:rsidR="00A15BFC">
        <w:fldChar w:fldCharType="end"/>
      </w:r>
      <w:r w:rsidRPr="00C000B2">
        <w:t>) is high in Aotearoa, adopting sun protection behaviours is less common and varies with the specific behaviour.</w:t>
      </w:r>
      <w:r w:rsidRPr="00A15BFC">
        <w:rPr>
          <w:vertAlign w:val="superscript"/>
        </w:rPr>
        <w:t>334,</w:t>
      </w:r>
      <w:r w:rsidR="00A15BFC">
        <w:rPr>
          <w:vertAlign w:val="superscript"/>
        </w:rPr>
        <w:t> </w:t>
      </w:r>
      <w:r w:rsidRPr="00A15BFC">
        <w:rPr>
          <w:vertAlign w:val="superscript"/>
        </w:rPr>
        <w:t>335</w:t>
      </w:r>
      <w:r w:rsidRPr="00C000B2">
        <w:t xml:space="preserve"> Surveys show many New Zealanders may take up at least one SunSmart behaviour (most commonly wearing sunscreen (</w:t>
      </w:r>
      <w:r w:rsidR="00A15BFC">
        <w:fldChar w:fldCharType="begin"/>
      </w:r>
      <w:r w:rsidR="00A15BFC">
        <w:instrText xml:space="preserve"> REF _Ref94868060 \h </w:instrText>
      </w:r>
      <w:r w:rsidR="00A15BFC">
        <w:fldChar w:fldCharType="separate"/>
      </w:r>
      <w:r w:rsidR="006E6019">
        <w:t>Figure </w:t>
      </w:r>
      <w:r w:rsidR="006E6019">
        <w:rPr>
          <w:noProof/>
        </w:rPr>
        <w:t>30</w:t>
      </w:r>
      <w:r w:rsidR="00A15BFC">
        <w:fldChar w:fldCharType="end"/>
      </w:r>
      <w:r w:rsidRPr="00C000B2">
        <w:t>)). However, for the best protection, people should adopt all the recommended practices.</w:t>
      </w:r>
      <w:r w:rsidRPr="00A15BFC">
        <w:rPr>
          <w:vertAlign w:val="superscript"/>
        </w:rPr>
        <w:t>336</w:t>
      </w:r>
    </w:p>
    <w:p w14:paraId="06F0756C" w14:textId="77777777" w:rsidR="00EF27EC" w:rsidRPr="00C000B2" w:rsidRDefault="00EF27EC" w:rsidP="00EF27EC">
      <w:pPr>
        <w:spacing w:before="3"/>
      </w:pPr>
    </w:p>
    <w:p w14:paraId="51D57099" w14:textId="77777777" w:rsidR="00EF27EC" w:rsidRPr="00A15BFC" w:rsidRDefault="00A15BFC" w:rsidP="00A15BFC">
      <w:pPr>
        <w:pStyle w:val="Figure"/>
        <w:rPr>
          <w:b w:val="0"/>
        </w:rPr>
      </w:pPr>
      <w:bookmarkStart w:id="187" w:name="_Ref94868060"/>
      <w:bookmarkStart w:id="188" w:name="_Toc95059151"/>
      <w:r>
        <w:t>Figure </w:t>
      </w:r>
      <w:r w:rsidR="00F50B6E">
        <w:fldChar w:fldCharType="begin"/>
      </w:r>
      <w:r w:rsidR="00F50B6E">
        <w:instrText xml:space="preserve"> SEQ Figure \* ARABIC </w:instrText>
      </w:r>
      <w:r w:rsidR="00F50B6E">
        <w:fldChar w:fldCharType="separate"/>
      </w:r>
      <w:r w:rsidR="006E6019">
        <w:rPr>
          <w:noProof/>
        </w:rPr>
        <w:t>30</w:t>
      </w:r>
      <w:r w:rsidR="00F50B6E">
        <w:rPr>
          <w:noProof/>
        </w:rPr>
        <w:fldChar w:fldCharType="end"/>
      </w:r>
      <w:bookmarkEnd w:id="187"/>
      <w:r w:rsidR="00EF27EC" w:rsidRPr="00C000B2">
        <w:t>: Proportion of adults wearing sunscreen in the past year, 2016</w:t>
      </w:r>
      <w:r w:rsidR="00EF27EC" w:rsidRPr="00A15BFC">
        <w:rPr>
          <w:b w:val="0"/>
          <w:vertAlign w:val="superscript"/>
        </w:rPr>
        <w:t>336</w:t>
      </w:r>
      <w:bookmarkEnd w:id="188"/>
    </w:p>
    <w:p w14:paraId="044D788D" w14:textId="77777777" w:rsidR="00EF27EC" w:rsidRPr="00C000B2" w:rsidRDefault="00A15BFC" w:rsidP="00A15BFC">
      <w:r>
        <w:rPr>
          <w:noProof/>
          <w:lang w:eastAsia="en-NZ"/>
        </w:rPr>
        <w:drawing>
          <wp:inline distT="0" distB="0" distL="0" distR="0" wp14:anchorId="4F849587" wp14:editId="2C6934FC">
            <wp:extent cx="2171505" cy="2107096"/>
            <wp:effectExtent l="0" t="0" r="635" b="7620"/>
            <wp:docPr id="1702" name="Picture 1702" title="Figure 30: Proportion of adults wearing sunscreen in the past yea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69267" cy="2104924"/>
                    </a:xfrm>
                    <a:prstGeom prst="rect">
                      <a:avLst/>
                    </a:prstGeom>
                  </pic:spPr>
                </pic:pic>
              </a:graphicData>
            </a:graphic>
          </wp:inline>
        </w:drawing>
      </w:r>
    </w:p>
    <w:p w14:paraId="2B1659F8" w14:textId="77777777" w:rsidR="00A15BFC" w:rsidRDefault="00A15BFC" w:rsidP="00A15BFC"/>
    <w:p w14:paraId="13864109" w14:textId="77777777" w:rsidR="00EF27EC" w:rsidRPr="00C000B2" w:rsidRDefault="00EF27EC" w:rsidP="00A15BFC">
      <w:r w:rsidRPr="00C000B2">
        <w:t>People rarely use UVI levels to inform their sun protection behaviours. Instead most adults</w:t>
      </w:r>
      <w:r w:rsidRPr="00A15BFC">
        <w:rPr>
          <w:vertAlign w:val="superscript"/>
        </w:rPr>
        <w:t>334</w:t>
      </w:r>
      <w:r w:rsidRPr="00C000B2">
        <w:t xml:space="preserve"> and young people</w:t>
      </w:r>
      <w:r w:rsidRPr="00A15BFC">
        <w:rPr>
          <w:vertAlign w:val="superscript"/>
        </w:rPr>
        <w:t>335</w:t>
      </w:r>
      <w:r w:rsidRPr="00C000B2">
        <w:t xml:space="preserve"> use air temperature and weather conditions (relative amounts of sun and cloud) as a guide. As a result, sun protection behaviours are less common on cold or cloudy days.</w:t>
      </w:r>
    </w:p>
    <w:p w14:paraId="2079A3C1" w14:textId="77777777" w:rsidR="00EF27EC" w:rsidRPr="00C000B2" w:rsidRDefault="00EF27EC" w:rsidP="00A15BFC"/>
    <w:p w14:paraId="758BE067" w14:textId="77777777" w:rsidR="00EF27EC" w:rsidRPr="00C000B2" w:rsidRDefault="00EF27EC" w:rsidP="00A15BFC">
      <w:pPr>
        <w:pStyle w:val="Heading2"/>
      </w:pPr>
      <w:bookmarkStart w:id="189" w:name="How_can_we_prevent_cancers_related_to_ex"/>
      <w:bookmarkStart w:id="190" w:name="_bookmark33"/>
      <w:bookmarkStart w:id="191" w:name="_Toc95742667"/>
      <w:bookmarkEnd w:id="189"/>
      <w:bookmarkEnd w:id="190"/>
      <w:r w:rsidRPr="00C000B2">
        <w:t>How can we prevent cancers related to excessive ultraviolet radiation?</w:t>
      </w:r>
      <w:bookmarkEnd w:id="191"/>
    </w:p>
    <w:p w14:paraId="122CBF97" w14:textId="77777777" w:rsidR="00EF27EC" w:rsidRPr="00C000B2" w:rsidRDefault="00EF27EC" w:rsidP="00A15BFC">
      <w:r w:rsidRPr="00C000B2">
        <w:t>The interventions summarised below (and expanded on under the focus areas that follow) are those considered most likely to reduce exposure to excessive UV radiation and ultimately reduce skin cancer risk. They are focused on creating supportive environments and settings to</w:t>
      </w:r>
      <w:r w:rsidR="00A15BFC">
        <w:t xml:space="preserve"> </w:t>
      </w:r>
      <w:r w:rsidRPr="00C000B2">
        <w:t>support the adoption of sun protection (SunSmart) behaviours. The interventions are in line with recommendations outlined in the New Zealand Skin Cancer Primary Prevention and Early Detection Strategy 2017–2022</w:t>
      </w:r>
      <w:r w:rsidRPr="00A15BFC">
        <w:rPr>
          <w:vertAlign w:val="superscript"/>
        </w:rPr>
        <w:t>337</w:t>
      </w:r>
      <w:r w:rsidRPr="00C000B2">
        <w:t xml:space="preserve"> and with recommendations of national organisations, including the New Zealand Cancer Society.</w:t>
      </w:r>
      <w:r w:rsidRPr="00A15BFC">
        <w:rPr>
          <w:vertAlign w:val="superscript"/>
        </w:rPr>
        <w:t>338</w:t>
      </w:r>
      <w:r w:rsidRPr="00C000B2">
        <w:t xml:space="preserve"> The interventions draw on the Australian SunSmart programme, which is a successful multicomponent, community-wide skin cancer prevention programme that has been operating for over 30 years.</w:t>
      </w:r>
      <w:r w:rsidRPr="00A15BFC">
        <w:rPr>
          <w:vertAlign w:val="superscript"/>
        </w:rPr>
        <w:t>339,</w:t>
      </w:r>
      <w:r w:rsidR="00A15BFC" w:rsidRPr="00A15BFC">
        <w:rPr>
          <w:vertAlign w:val="superscript"/>
        </w:rPr>
        <w:t> </w:t>
      </w:r>
      <w:r w:rsidRPr="00A15BFC">
        <w:rPr>
          <w:vertAlign w:val="superscript"/>
        </w:rPr>
        <w:t>340</w:t>
      </w:r>
    </w:p>
    <w:p w14:paraId="59BEB42F" w14:textId="77777777" w:rsidR="00EF27EC" w:rsidRDefault="00EF27EC" w:rsidP="00A15BFC"/>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F0"/>
        <w:tblLayout w:type="fixed"/>
        <w:tblCellMar>
          <w:left w:w="57" w:type="dxa"/>
          <w:right w:w="57" w:type="dxa"/>
        </w:tblCellMar>
        <w:tblLook w:val="04A0" w:firstRow="1" w:lastRow="0" w:firstColumn="1" w:lastColumn="0" w:noHBand="0" w:noVBand="1"/>
      </w:tblPr>
      <w:tblGrid>
        <w:gridCol w:w="8295"/>
      </w:tblGrid>
      <w:tr w:rsidR="00A15BFC" w:rsidRPr="004805C8" w14:paraId="73C9E034" w14:textId="77777777" w:rsidTr="00A15BFC">
        <w:trPr>
          <w:cantSplit/>
        </w:trPr>
        <w:tc>
          <w:tcPr>
            <w:tcW w:w="8295" w:type="dxa"/>
            <w:tcBorders>
              <w:bottom w:val="single" w:sz="12" w:space="0" w:color="22B893"/>
            </w:tcBorders>
            <w:shd w:val="clear" w:color="auto" w:fill="EAF5F0"/>
          </w:tcPr>
          <w:p w14:paraId="04134EFD" w14:textId="77777777" w:rsidR="00A15BFC" w:rsidRPr="004805C8" w:rsidRDefault="00A15BFC" w:rsidP="00A15BFC">
            <w:pPr>
              <w:pStyle w:val="TableText"/>
              <w:keepNext/>
              <w:spacing w:before="120"/>
              <w:rPr>
                <w:b/>
                <w:sz w:val="20"/>
              </w:rPr>
            </w:pPr>
            <w:r w:rsidRPr="004805C8">
              <w:rPr>
                <w:b/>
                <w:sz w:val="20"/>
              </w:rPr>
              <w:lastRenderedPageBreak/>
              <w:t xml:space="preserve">Summary of options to prevent cancers related to </w:t>
            </w:r>
            <w:r>
              <w:rPr>
                <w:b/>
                <w:sz w:val="20"/>
              </w:rPr>
              <w:t>excessive UV radiation</w:t>
            </w:r>
          </w:p>
        </w:tc>
      </w:tr>
      <w:tr w:rsidR="00A15BFC" w14:paraId="51A7E177" w14:textId="77777777" w:rsidTr="00A15BFC">
        <w:trPr>
          <w:cantSplit/>
        </w:trPr>
        <w:tc>
          <w:tcPr>
            <w:tcW w:w="8295" w:type="dxa"/>
            <w:tcBorders>
              <w:top w:val="single" w:sz="12" w:space="0" w:color="22B893"/>
            </w:tcBorders>
            <w:shd w:val="clear" w:color="auto" w:fill="EAF5F0"/>
          </w:tcPr>
          <w:p w14:paraId="22AB0FBF" w14:textId="77777777" w:rsidR="00A15BFC" w:rsidRPr="00C000B2" w:rsidRDefault="00A15BFC" w:rsidP="002767B4">
            <w:pPr>
              <w:pStyle w:val="TableBullet"/>
              <w:spacing w:before="120"/>
            </w:pPr>
            <w:r w:rsidRPr="00C000B2">
              <w:t>Create healthy outdoor environments that provide protection from excessive UV radiation.</w:t>
            </w:r>
          </w:p>
          <w:p w14:paraId="1787D8BF" w14:textId="77777777" w:rsidR="00A15BFC" w:rsidRPr="00C000B2" w:rsidRDefault="00A15BFC" w:rsidP="00A15BFC">
            <w:pPr>
              <w:pStyle w:val="TableDash"/>
            </w:pPr>
            <w:r w:rsidRPr="00C000B2">
              <w:t>Require local government to develop and implement comprehensive UV radiation protection policies, including increasing availability of and access to good-quality shade outdoors.</w:t>
            </w:r>
          </w:p>
          <w:p w14:paraId="5192E05E" w14:textId="77777777" w:rsidR="00A15BFC" w:rsidRPr="00C000B2" w:rsidRDefault="00A15BFC" w:rsidP="00A15BFC">
            <w:pPr>
              <w:pStyle w:val="TableBullet"/>
            </w:pPr>
            <w:r w:rsidRPr="00C000B2">
              <w:t>Create supportive school environments that protect children and young people from excessive UV radiation.</w:t>
            </w:r>
          </w:p>
          <w:p w14:paraId="0AB64CD8" w14:textId="77777777" w:rsidR="00A15BFC" w:rsidRPr="00C000B2" w:rsidRDefault="00A15BFC" w:rsidP="00A15BFC">
            <w:pPr>
              <w:pStyle w:val="TableDash"/>
            </w:pPr>
            <w:r w:rsidRPr="00C000B2">
              <w:t>Implement comprehensive sun protection policies and monitoring in all education settings.</w:t>
            </w:r>
          </w:p>
          <w:p w14:paraId="0EAEB404" w14:textId="77777777" w:rsidR="00A15BFC" w:rsidRPr="00C000B2" w:rsidRDefault="00A15BFC" w:rsidP="00A15BFC">
            <w:pPr>
              <w:pStyle w:val="TableBullet"/>
            </w:pPr>
            <w:r w:rsidRPr="00C000B2">
              <w:t>Create supportive work environments that protect people from exposure to excessive UV radiation.</w:t>
            </w:r>
          </w:p>
          <w:p w14:paraId="5F3CC41C" w14:textId="77777777" w:rsidR="00A15BFC" w:rsidRPr="00C000B2" w:rsidRDefault="00A15BFC" w:rsidP="00A15BFC">
            <w:pPr>
              <w:pStyle w:val="TableDash"/>
            </w:pPr>
            <w:r w:rsidRPr="00C000B2">
              <w:t>Ensure employers are meeting their legal obligations to protect workers from sun exposure.</w:t>
            </w:r>
          </w:p>
          <w:p w14:paraId="393C4B07" w14:textId="77777777" w:rsidR="00A15BFC" w:rsidRPr="00C000B2" w:rsidRDefault="00A15BFC" w:rsidP="00A15BFC">
            <w:pPr>
              <w:pStyle w:val="TableBullet"/>
            </w:pPr>
            <w:r w:rsidRPr="00C000B2">
              <w:t>Increase access to affordable, high-quality sunscreen.</w:t>
            </w:r>
          </w:p>
          <w:p w14:paraId="591711C0" w14:textId="77777777" w:rsidR="00A15BFC" w:rsidRPr="00C000B2" w:rsidRDefault="00A15BFC" w:rsidP="00A15BFC">
            <w:pPr>
              <w:pStyle w:val="TableDash"/>
            </w:pPr>
            <w:r w:rsidRPr="00C000B2">
              <w:t>Increase access to affordable sunscreen.</w:t>
            </w:r>
          </w:p>
          <w:p w14:paraId="6510D428" w14:textId="77777777" w:rsidR="00A15BFC" w:rsidRDefault="00A15BFC" w:rsidP="00A15BFC">
            <w:pPr>
              <w:pStyle w:val="TableDash"/>
            </w:pPr>
            <w:r w:rsidRPr="00C000B2">
              <w:t xml:space="preserve">Regulate sunscreen to ensure all sunscreens meet accepted standards for safety, </w:t>
            </w:r>
            <w:proofErr w:type="gramStart"/>
            <w:r w:rsidRPr="00C000B2">
              <w:t>quality</w:t>
            </w:r>
            <w:proofErr w:type="gramEnd"/>
            <w:r w:rsidRPr="00C000B2">
              <w:t xml:space="preserve"> and effectiveness.</w:t>
            </w:r>
          </w:p>
        </w:tc>
      </w:tr>
    </w:tbl>
    <w:p w14:paraId="30817164" w14:textId="77777777" w:rsidR="00A15BFC" w:rsidRPr="00C000B2" w:rsidRDefault="00A15BFC" w:rsidP="002767B4">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306080F9" w14:textId="77777777" w:rsidTr="00351028">
        <w:trPr>
          <w:cantSplit/>
        </w:trPr>
        <w:tc>
          <w:tcPr>
            <w:tcW w:w="426" w:type="dxa"/>
            <w:tcBorders>
              <w:right w:val="single" w:sz="48" w:space="0" w:color="FFFFFF" w:themeColor="background1"/>
            </w:tcBorders>
            <w:shd w:val="clear" w:color="auto" w:fill="22B893"/>
          </w:tcPr>
          <w:p w14:paraId="70E7D707" w14:textId="77777777" w:rsidR="00990345" w:rsidRDefault="00990345" w:rsidP="00351028"/>
        </w:tc>
        <w:tc>
          <w:tcPr>
            <w:tcW w:w="7371" w:type="dxa"/>
            <w:gridSpan w:val="2"/>
          </w:tcPr>
          <w:p w14:paraId="09310F3F" w14:textId="77777777" w:rsidR="00990345" w:rsidRPr="002767B4" w:rsidRDefault="00990345" w:rsidP="00351028">
            <w:pPr>
              <w:pStyle w:val="TableText"/>
              <w:rPr>
                <w:sz w:val="22"/>
                <w:szCs w:val="22"/>
              </w:rPr>
            </w:pPr>
            <w:r w:rsidRPr="0029210A">
              <w:rPr>
                <w:b/>
                <w:sz w:val="22"/>
                <w:szCs w:val="22"/>
              </w:rPr>
              <w:t xml:space="preserve">Focus area: </w:t>
            </w:r>
            <w:r w:rsidR="002767B4" w:rsidRPr="002767B4">
              <w:rPr>
                <w:sz w:val="22"/>
                <w:szCs w:val="22"/>
              </w:rPr>
              <w:t>Create healthy outdoor environments that provide protection from excessive UV radiation</w:t>
            </w:r>
          </w:p>
          <w:p w14:paraId="3A22A659" w14:textId="77777777" w:rsidR="002767B4" w:rsidRPr="002767B4" w:rsidRDefault="002767B4" w:rsidP="002767B4">
            <w:pPr>
              <w:pStyle w:val="TableText"/>
              <w:rPr>
                <w:sz w:val="20"/>
                <w:szCs w:val="24"/>
              </w:rPr>
            </w:pPr>
            <w:r w:rsidRPr="002767B4">
              <w:rPr>
                <w:sz w:val="20"/>
                <w:szCs w:val="24"/>
              </w:rPr>
              <w:t>What do we know about the impact of shade on exposure to UV radiation?</w:t>
            </w:r>
          </w:p>
          <w:p w14:paraId="5E548297" w14:textId="77777777" w:rsidR="002767B4" w:rsidRPr="00C000B2" w:rsidRDefault="002767B4" w:rsidP="002767B4">
            <w:pPr>
              <w:pStyle w:val="TableText"/>
            </w:pPr>
            <w:r w:rsidRPr="00C000B2">
              <w:t>Good-quality shade fabrics can reduce UV radiation exposure by up to 75 percent</w:t>
            </w:r>
            <w:r w:rsidRPr="002767B4">
              <w:rPr>
                <w:vertAlign w:val="superscript"/>
              </w:rPr>
              <w:t>341</w:t>
            </w:r>
            <w:r w:rsidRPr="00C000B2">
              <w:t xml:space="preserve"> and trees with heavy dense canopy can provide up to 90 percent UV radiation protection.</w:t>
            </w:r>
            <w:r w:rsidRPr="002767B4">
              <w:rPr>
                <w:vertAlign w:val="superscript"/>
              </w:rPr>
              <w:t>342</w:t>
            </w:r>
            <w:r w:rsidRPr="00C000B2">
              <w:t xml:space="preserve"> Ultraviolet radiation levels are not affected by air temperature, so shade that provides protection from heat does not automatically provide protection from UV radiation.</w:t>
            </w:r>
            <w:r w:rsidRPr="002767B4">
              <w:rPr>
                <w:vertAlign w:val="superscript"/>
              </w:rPr>
              <w:t>343</w:t>
            </w:r>
          </w:p>
          <w:p w14:paraId="6B22C806" w14:textId="77777777" w:rsidR="00990345" w:rsidRDefault="002767B4" w:rsidP="002767B4">
            <w:pPr>
              <w:pStyle w:val="TableText"/>
            </w:pPr>
            <w:r w:rsidRPr="00C000B2">
              <w:t>Children and adolescents in Aotearoa are often not adequately protected from exposure to UV radiation in outdoor recreation spaces.</w:t>
            </w:r>
            <w:r w:rsidRPr="002767B4">
              <w:rPr>
                <w:vertAlign w:val="superscript"/>
              </w:rPr>
              <w:t>344, 345</w:t>
            </w:r>
            <w:r w:rsidRPr="00C000B2">
              <w:t xml:space="preserve"> Only 40 percent of Aotearoa playgrounds provide adequate shade protection, although Waikato, Whangarei and Wairarapa have higher levels of shade in outdoor recreational spaces than other parts of Aotearoa.</w:t>
            </w:r>
            <w:r w:rsidRPr="002767B4">
              <w:rPr>
                <w:vertAlign w:val="superscript"/>
              </w:rPr>
              <w:t>345</w:t>
            </w:r>
          </w:p>
        </w:tc>
      </w:tr>
      <w:tr w:rsidR="00990345" w14:paraId="033B6F29" w14:textId="77777777" w:rsidTr="00351028">
        <w:trPr>
          <w:cantSplit/>
        </w:trPr>
        <w:tc>
          <w:tcPr>
            <w:tcW w:w="426" w:type="dxa"/>
            <w:tcBorders>
              <w:right w:val="single" w:sz="48" w:space="0" w:color="FFFFFF" w:themeColor="background1"/>
            </w:tcBorders>
            <w:shd w:val="clear" w:color="auto" w:fill="22B893"/>
          </w:tcPr>
          <w:p w14:paraId="01408E6D" w14:textId="77777777" w:rsidR="00990345" w:rsidRDefault="00990345" w:rsidP="00351028"/>
        </w:tc>
        <w:tc>
          <w:tcPr>
            <w:tcW w:w="304" w:type="dxa"/>
            <w:shd w:val="clear" w:color="auto" w:fill="F37973"/>
          </w:tcPr>
          <w:p w14:paraId="24A4A764" w14:textId="77777777" w:rsidR="00990345" w:rsidRPr="0029210A" w:rsidRDefault="00990345" w:rsidP="00351028">
            <w:pPr>
              <w:pStyle w:val="TableText"/>
            </w:pPr>
          </w:p>
        </w:tc>
        <w:tc>
          <w:tcPr>
            <w:tcW w:w="7067" w:type="dxa"/>
          </w:tcPr>
          <w:p w14:paraId="5BB67F38" w14:textId="77777777" w:rsidR="00990345" w:rsidRPr="0029210A" w:rsidRDefault="002767B4" w:rsidP="00351028">
            <w:pPr>
              <w:pStyle w:val="TableText"/>
              <w:ind w:left="113"/>
            </w:pPr>
            <w:r w:rsidRPr="00C000B2">
              <w:t>Playgrounds in more socioeconomically deprived areas have less shade than those in less deprived areas.</w:t>
            </w:r>
            <w:r w:rsidRPr="002767B4">
              <w:rPr>
                <w:vertAlign w:val="superscript"/>
              </w:rPr>
              <w:t>344</w:t>
            </w:r>
          </w:p>
        </w:tc>
      </w:tr>
    </w:tbl>
    <w:p w14:paraId="1A243198" w14:textId="77777777" w:rsidR="00990345" w:rsidRPr="00C000B2" w:rsidRDefault="00990345" w:rsidP="002767B4">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07F52965" w14:textId="77777777" w:rsidTr="00AB11A2">
        <w:trPr>
          <w:cantSplit/>
        </w:trPr>
        <w:tc>
          <w:tcPr>
            <w:tcW w:w="8080" w:type="dxa"/>
            <w:gridSpan w:val="2"/>
            <w:tcBorders>
              <w:bottom w:val="nil"/>
            </w:tcBorders>
            <w:shd w:val="clear" w:color="auto" w:fill="D7EDE4"/>
          </w:tcPr>
          <w:p w14:paraId="798F4273" w14:textId="77777777" w:rsidR="0029210A" w:rsidRPr="00AB3864" w:rsidRDefault="0029210A" w:rsidP="002767B4">
            <w:pPr>
              <w:pStyle w:val="TableText"/>
              <w:keepNext/>
              <w:spacing w:before="120"/>
              <w:rPr>
                <w:b/>
                <w:sz w:val="22"/>
                <w:szCs w:val="22"/>
              </w:rPr>
            </w:pPr>
            <w:r w:rsidRPr="00AB3864">
              <w:rPr>
                <w:b/>
                <w:sz w:val="22"/>
                <w:szCs w:val="22"/>
              </w:rPr>
              <w:lastRenderedPageBreak/>
              <w:t xml:space="preserve">Action: </w:t>
            </w:r>
            <w:r w:rsidR="002767B4" w:rsidRPr="002767B4">
              <w:rPr>
                <w:sz w:val="20"/>
              </w:rPr>
              <w:t>Require local government to develop and implement comprehensive UV radiation protection policies, including increasing availability of and access to good-quality shade outdoors</w:t>
            </w:r>
          </w:p>
        </w:tc>
      </w:tr>
      <w:tr w:rsidR="0029210A" w14:paraId="449ABFC8" w14:textId="77777777" w:rsidTr="002767B4">
        <w:trPr>
          <w:cantSplit/>
        </w:trPr>
        <w:tc>
          <w:tcPr>
            <w:tcW w:w="4040" w:type="dxa"/>
            <w:tcBorders>
              <w:top w:val="nil"/>
              <w:bottom w:val="single" w:sz="8" w:space="0" w:color="22B893"/>
              <w:right w:val="dashed" w:sz="4" w:space="0" w:color="22B893"/>
            </w:tcBorders>
          </w:tcPr>
          <w:p w14:paraId="6341C5A8" w14:textId="77777777" w:rsidR="0029210A" w:rsidRPr="00AB3864" w:rsidRDefault="0029210A" w:rsidP="00AB11A2">
            <w:pPr>
              <w:pStyle w:val="TableText"/>
              <w:ind w:right="142"/>
              <w:rPr>
                <w:sz w:val="20"/>
              </w:rPr>
            </w:pPr>
            <w:r w:rsidRPr="00AB3864">
              <w:rPr>
                <w:sz w:val="20"/>
              </w:rPr>
              <w:t>What is the evidence?</w:t>
            </w:r>
          </w:p>
          <w:p w14:paraId="6D48A02F" w14:textId="77777777" w:rsidR="002767B4" w:rsidRPr="00C000B2" w:rsidRDefault="002767B4" w:rsidP="002767B4">
            <w:pPr>
              <w:pStyle w:val="TableText"/>
              <w:ind w:right="113"/>
            </w:pPr>
            <w:r w:rsidRPr="00C000B2">
              <w:t xml:space="preserve">Comprehensive sun protection policies should include key components: guidelines for specific groups (such as outdoor workers), events and areas (such as parks, </w:t>
            </w:r>
            <w:proofErr w:type="gramStart"/>
            <w:r w:rsidRPr="00C000B2">
              <w:t>gardens</w:t>
            </w:r>
            <w:proofErr w:type="gramEnd"/>
            <w:r w:rsidRPr="00C000B2">
              <w:t xml:space="preserve"> and sports facilities), shade considerations in building codes, urban design/landscape, and community and sporting facilities.</w:t>
            </w:r>
          </w:p>
          <w:p w14:paraId="16362955" w14:textId="77777777" w:rsidR="002767B4" w:rsidRPr="00C000B2" w:rsidRDefault="002767B4" w:rsidP="002767B4">
            <w:pPr>
              <w:pStyle w:val="TableText"/>
              <w:ind w:right="113"/>
            </w:pPr>
            <w:r w:rsidRPr="00C000B2">
              <w:t>Adding built shade (such as shade sails over play and eating areas) to schools, parks and outdoor recreation areas increases the use of shade in outdoor spaces.</w:t>
            </w:r>
            <w:r w:rsidRPr="002767B4">
              <w:rPr>
                <w:vertAlign w:val="superscript"/>
              </w:rPr>
              <w:t>346</w:t>
            </w:r>
            <w:r>
              <w:rPr>
                <w:vertAlign w:val="superscript"/>
              </w:rPr>
              <w:t>–</w:t>
            </w:r>
            <w:r w:rsidRPr="002767B4">
              <w:rPr>
                <w:vertAlign w:val="superscript"/>
              </w:rPr>
              <w:t>348</w:t>
            </w:r>
          </w:p>
          <w:p w14:paraId="36DC57E7" w14:textId="77777777" w:rsidR="002767B4" w:rsidRPr="00C000B2" w:rsidRDefault="002767B4" w:rsidP="002767B4">
            <w:pPr>
              <w:pStyle w:val="TableText"/>
              <w:ind w:right="113"/>
            </w:pPr>
            <w:r w:rsidRPr="00C000B2">
              <w:t>The Australian SunSmart programmes provide guidance and support to local government for developing comprehensive sun protection policies.</w:t>
            </w:r>
            <w:r w:rsidRPr="002767B4">
              <w:rPr>
                <w:vertAlign w:val="superscript"/>
              </w:rPr>
              <w:t>349</w:t>
            </w:r>
            <w:r w:rsidRPr="00C000B2">
              <w:t xml:space="preserve"> As part of the Australian SunSmart programmes, the Victorian government established a shade grants programme in 2014 to increase shade availability and sun protection practices. In 2018, $10 million in shade grants were made available to the programme.</w:t>
            </w:r>
            <w:r w:rsidRPr="002767B4">
              <w:rPr>
                <w:vertAlign w:val="superscript"/>
              </w:rPr>
              <w:t>350</w:t>
            </w:r>
          </w:p>
          <w:p w14:paraId="3E251155" w14:textId="77777777" w:rsidR="0029210A" w:rsidRDefault="002767B4" w:rsidP="002767B4">
            <w:pPr>
              <w:pStyle w:val="TableText"/>
              <w:ind w:right="113"/>
            </w:pPr>
            <w:r w:rsidRPr="00C000B2">
              <w:t>In a 2013 survey in Aotearoa, more than 75 percent of respondents agreed that their council should use</w:t>
            </w:r>
            <w:r>
              <w:t xml:space="preserve"> </w:t>
            </w:r>
            <w:r w:rsidRPr="00C000B2">
              <w:t>money from rates to provide shade in public places.</w:t>
            </w:r>
            <w:r w:rsidRPr="002767B4">
              <w:rPr>
                <w:vertAlign w:val="superscript"/>
              </w:rPr>
              <w:t>351</w:t>
            </w:r>
          </w:p>
        </w:tc>
        <w:tc>
          <w:tcPr>
            <w:tcW w:w="4040" w:type="dxa"/>
            <w:tcBorders>
              <w:top w:val="nil"/>
              <w:left w:val="dashed" w:sz="4" w:space="0" w:color="22B893"/>
              <w:bottom w:val="single" w:sz="8" w:space="0" w:color="22B893"/>
            </w:tcBorders>
          </w:tcPr>
          <w:p w14:paraId="2F16D09B" w14:textId="77777777" w:rsidR="0029210A" w:rsidRPr="00AB3864" w:rsidRDefault="0029210A" w:rsidP="00AB11A2">
            <w:pPr>
              <w:pStyle w:val="TableText"/>
              <w:ind w:left="113"/>
              <w:rPr>
                <w:sz w:val="20"/>
              </w:rPr>
            </w:pPr>
            <w:r w:rsidRPr="00AB3864">
              <w:rPr>
                <w:sz w:val="20"/>
              </w:rPr>
              <w:t>What is Aotearoa doing currently?</w:t>
            </w:r>
          </w:p>
          <w:p w14:paraId="194DA546" w14:textId="77777777" w:rsidR="002767B4" w:rsidRPr="00C000B2" w:rsidRDefault="002767B4" w:rsidP="002767B4">
            <w:pPr>
              <w:pStyle w:val="TableText"/>
              <w:ind w:left="113"/>
            </w:pPr>
            <w:r w:rsidRPr="00C000B2">
              <w:t>Aotearoa has no legislative requirement for shade provision or for shade provision policies. No public funding is available for installing appropriate shade.</w:t>
            </w:r>
          </w:p>
          <w:p w14:paraId="52CA3589" w14:textId="77777777" w:rsidR="002767B4" w:rsidRPr="00C000B2" w:rsidRDefault="002767B4" w:rsidP="002767B4">
            <w:pPr>
              <w:pStyle w:val="TableText"/>
              <w:ind w:left="113"/>
            </w:pPr>
            <w:r w:rsidRPr="00C000B2">
              <w:t>Some councils have developed sun protection policies as part of their role in providing</w:t>
            </w:r>
            <w:r>
              <w:t xml:space="preserve"> </w:t>
            </w:r>
            <w:r w:rsidRPr="00C000B2">
              <w:t>their communities with safe and healthy environments,</w:t>
            </w:r>
            <w:r w:rsidRPr="002767B4">
              <w:rPr>
                <w:vertAlign w:val="superscript"/>
              </w:rPr>
              <w:t>352, 353</w:t>
            </w:r>
            <w:r w:rsidRPr="00C000B2">
              <w:t xml:space="preserve"> although there is no legislative requirement for them to do so. Five local councils had a sun protection policy in 2021. Where they exist, local policies vary nationwide.</w:t>
            </w:r>
          </w:p>
          <w:p w14:paraId="3274B112" w14:textId="77777777" w:rsidR="002767B4" w:rsidRPr="00C000B2" w:rsidRDefault="002767B4" w:rsidP="002767B4">
            <w:pPr>
              <w:pStyle w:val="TableText"/>
              <w:ind w:left="113"/>
            </w:pPr>
            <w:r w:rsidRPr="00C000B2">
              <w:t>A guide for developing and implementing seasonally and regionally appropriate sun protection policies</w:t>
            </w:r>
            <w:r>
              <w:t xml:space="preserve"> </w:t>
            </w:r>
            <w:r w:rsidRPr="00C000B2">
              <w:t>is available on the SunSmart website (</w:t>
            </w:r>
            <w:hyperlink r:id="rId63" w:history="1">
              <w:r w:rsidRPr="002767B4">
                <w:rPr>
                  <w:rStyle w:val="Hyperlink"/>
                </w:rPr>
                <w:t>https://www.sunsmart.org.nz/learn-more/sunsmart-councils-and-workplaces</w:t>
              </w:r>
            </w:hyperlink>
            <w:r w:rsidRPr="00C000B2">
              <w:t>).</w:t>
            </w:r>
            <w:r w:rsidRPr="002767B4">
              <w:rPr>
                <w:vertAlign w:val="superscript"/>
              </w:rPr>
              <w:t>354</w:t>
            </w:r>
          </w:p>
          <w:p w14:paraId="41B9D362" w14:textId="77777777" w:rsidR="002767B4" w:rsidRPr="00C000B2" w:rsidRDefault="002767B4" w:rsidP="002767B4">
            <w:pPr>
              <w:pStyle w:val="TableText"/>
              <w:ind w:left="113"/>
            </w:pPr>
            <w:r w:rsidRPr="00C000B2">
              <w:t>The SunSmart website covers shade provision in the design of community and sporting facilities. This includes sun protection considerations in building codes and planning requirements and adopting a systematic process for planning shade for locations where the public could be at risk of over-exposure to UV</w:t>
            </w:r>
            <w:r>
              <w:t> </w:t>
            </w:r>
            <w:r w:rsidRPr="00C000B2">
              <w:t>radiation.</w:t>
            </w:r>
          </w:p>
          <w:p w14:paraId="10EF3A42" w14:textId="77777777" w:rsidR="0029210A" w:rsidRDefault="002767B4" w:rsidP="002767B4">
            <w:pPr>
              <w:pStyle w:val="TableText"/>
              <w:ind w:left="113"/>
            </w:pPr>
            <w:r w:rsidRPr="00C000B2">
              <w:t>The Cancer Society has produced guidelines for developing shade that is appropriate for the different climate zones in Aotearoa and provides sufficient protection from UV</w:t>
            </w:r>
            <w:r>
              <w:t> </w:t>
            </w:r>
            <w:r w:rsidRPr="00C000B2">
              <w:t>radiation.</w:t>
            </w:r>
            <w:r w:rsidRPr="002767B4">
              <w:rPr>
                <w:vertAlign w:val="superscript"/>
              </w:rPr>
              <w:t>355</w:t>
            </w:r>
          </w:p>
        </w:tc>
      </w:tr>
    </w:tbl>
    <w:p w14:paraId="7FBC3245" w14:textId="77777777" w:rsidR="0029210A" w:rsidRPr="00C000B2" w:rsidRDefault="0029210A" w:rsidP="002767B4">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990345" w14:paraId="399D1C91" w14:textId="77777777" w:rsidTr="00351028">
        <w:trPr>
          <w:cantSplit/>
        </w:trPr>
        <w:tc>
          <w:tcPr>
            <w:tcW w:w="426" w:type="dxa"/>
            <w:tcBorders>
              <w:right w:val="single" w:sz="48" w:space="0" w:color="FFFFFF" w:themeColor="background1"/>
            </w:tcBorders>
            <w:shd w:val="clear" w:color="auto" w:fill="22B893"/>
          </w:tcPr>
          <w:p w14:paraId="71E1805E" w14:textId="77777777" w:rsidR="00990345" w:rsidRDefault="00990345" w:rsidP="00351028"/>
        </w:tc>
        <w:tc>
          <w:tcPr>
            <w:tcW w:w="7371" w:type="dxa"/>
          </w:tcPr>
          <w:p w14:paraId="7306875D" w14:textId="77777777" w:rsidR="00990345" w:rsidRPr="002767B4" w:rsidRDefault="00990345" w:rsidP="00351028">
            <w:pPr>
              <w:pStyle w:val="TableText"/>
              <w:rPr>
                <w:sz w:val="22"/>
                <w:szCs w:val="22"/>
              </w:rPr>
            </w:pPr>
            <w:r w:rsidRPr="0029210A">
              <w:rPr>
                <w:b/>
                <w:sz w:val="22"/>
                <w:szCs w:val="22"/>
              </w:rPr>
              <w:t xml:space="preserve">Focus area: </w:t>
            </w:r>
            <w:r w:rsidR="002767B4" w:rsidRPr="002767B4">
              <w:rPr>
                <w:sz w:val="22"/>
                <w:szCs w:val="22"/>
              </w:rPr>
              <w:t>Create supportive school environments that protect children and young people from excessive UV radiation</w:t>
            </w:r>
          </w:p>
          <w:p w14:paraId="5C83E64E" w14:textId="77777777" w:rsidR="002767B4" w:rsidRPr="002767B4" w:rsidRDefault="002767B4" w:rsidP="002767B4">
            <w:pPr>
              <w:pStyle w:val="TableText"/>
              <w:rPr>
                <w:sz w:val="20"/>
              </w:rPr>
            </w:pPr>
            <w:r w:rsidRPr="002767B4">
              <w:rPr>
                <w:sz w:val="20"/>
              </w:rPr>
              <w:t>What do we know about school environments and UV radiation?</w:t>
            </w:r>
          </w:p>
          <w:p w14:paraId="4B27315A" w14:textId="77777777" w:rsidR="00990345" w:rsidRDefault="002767B4" w:rsidP="002767B4">
            <w:pPr>
              <w:pStyle w:val="TableText"/>
            </w:pPr>
            <w:r w:rsidRPr="00C000B2">
              <w:rPr>
                <w:noProof/>
                <w:lang w:eastAsia="en-NZ"/>
              </w:rPr>
              <mc:AlternateContent>
                <mc:Choice Requires="wps">
                  <w:drawing>
                    <wp:anchor distT="0" distB="0" distL="114300" distR="114300" simplePos="0" relativeHeight="252167168" behindDoc="1" locked="0" layoutInCell="1" allowOverlap="1" wp14:anchorId="5B227253" wp14:editId="0993A169">
                      <wp:simplePos x="0" y="0"/>
                      <wp:positionH relativeFrom="page">
                        <wp:posOffset>3773805</wp:posOffset>
                      </wp:positionH>
                      <wp:positionV relativeFrom="paragraph">
                        <wp:posOffset>1392555</wp:posOffset>
                      </wp:positionV>
                      <wp:extent cx="12700" cy="12700"/>
                      <wp:effectExtent l="1905" t="2540" r="4445" b="3810"/>
                      <wp:wrapNone/>
                      <wp:docPr id="566" name="Freeform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943 5943"/>
                                  <a:gd name="T1" fmla="*/ T0 w 20"/>
                                  <a:gd name="T2" fmla="+- 0 2203 2193"/>
                                  <a:gd name="T3" fmla="*/ 2203 h 20"/>
                                  <a:gd name="T4" fmla="+- 0 5946 5943"/>
                                  <a:gd name="T5" fmla="*/ T4 w 20"/>
                                  <a:gd name="T6" fmla="+- 0 2196 2193"/>
                                  <a:gd name="T7" fmla="*/ 2196 h 20"/>
                                  <a:gd name="T8" fmla="+- 0 5953 5943"/>
                                  <a:gd name="T9" fmla="*/ T8 w 20"/>
                                  <a:gd name="T10" fmla="+- 0 2193 2193"/>
                                  <a:gd name="T11" fmla="*/ 2193 h 20"/>
                                  <a:gd name="T12" fmla="+- 0 5960 5943"/>
                                  <a:gd name="T13" fmla="*/ T12 w 20"/>
                                  <a:gd name="T14" fmla="+- 0 2196 2193"/>
                                  <a:gd name="T15" fmla="*/ 2196 h 20"/>
                                  <a:gd name="T16" fmla="+- 0 5963 5943"/>
                                  <a:gd name="T17" fmla="*/ T16 w 20"/>
                                  <a:gd name="T18" fmla="+- 0 2203 2193"/>
                                  <a:gd name="T19" fmla="*/ 2203 h 20"/>
                                  <a:gd name="T20" fmla="+- 0 5960 5943"/>
                                  <a:gd name="T21" fmla="*/ T20 w 20"/>
                                  <a:gd name="T22" fmla="+- 0 2210 2193"/>
                                  <a:gd name="T23" fmla="*/ 2210 h 20"/>
                                  <a:gd name="T24" fmla="+- 0 5953 5943"/>
                                  <a:gd name="T25" fmla="*/ T24 w 20"/>
                                  <a:gd name="T26" fmla="+- 0 2213 2193"/>
                                  <a:gd name="T27" fmla="*/ 2213 h 20"/>
                                  <a:gd name="T28" fmla="+- 0 5946 5943"/>
                                  <a:gd name="T29" fmla="*/ T28 w 20"/>
                                  <a:gd name="T30" fmla="+- 0 2210 2193"/>
                                  <a:gd name="T31" fmla="*/ 2210 h 20"/>
                                  <a:gd name="T32" fmla="+- 0 5943 5943"/>
                                  <a:gd name="T33" fmla="*/ T32 w 20"/>
                                  <a:gd name="T34" fmla="+- 0 2203 2193"/>
                                  <a:gd name="T35" fmla="*/ 22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449DE" id="Freeform 566" o:spid="_x0000_s1026" alt="&quot;&quot;" style="position:absolute;margin-left:297.15pt;margin-top:109.65pt;width:1pt;height:1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" path="m,10l3,3,10,r7,3l20,10r-3,7l10,20,3,17,,10xe" fillcolor="#22b893" stroked="f">
                      <v:path arrowok="t" o:connecttype="custom" o:connectlocs="0,1398905;1905,1394460;6350,1392555;10795,1394460;12700,1398905;10795,1403350;6350,1405255;1905,1403350;0,1398905" o:connectangles="0,0,0,0,0,0,0,0,0"/>
                      <w10:wrap anchorx="page"/>
                    </v:shape>
                  </w:pict>
                </mc:Fallback>
              </mc:AlternateContent>
            </w:r>
            <w:r w:rsidRPr="00C000B2">
              <w:t>Children are at school or early childhood centres during peak UV radiation times.</w:t>
            </w:r>
            <w:r w:rsidRPr="002767B4">
              <w:rPr>
                <w:vertAlign w:val="superscript"/>
              </w:rPr>
              <w:t>356</w:t>
            </w:r>
            <w:r w:rsidRPr="00C000B2">
              <w:t xml:space="preserve"> However, children and adolescents in Aotearoa are often not adequately protected from sun exposure while at school.</w:t>
            </w:r>
            <w:r w:rsidRPr="002767B4">
              <w:rPr>
                <w:vertAlign w:val="superscript"/>
              </w:rPr>
              <w:t>357–359</w:t>
            </w:r>
            <w:r w:rsidRPr="00C000B2">
              <w:t xml:space="preserve"> The cost of shade provision is recognised as a key barrier to improving access to shade in schools in Aotearoa</w:t>
            </w:r>
            <w:r w:rsidRPr="002767B4">
              <w:rPr>
                <w:vertAlign w:val="superscript"/>
              </w:rPr>
              <w:t>360</w:t>
            </w:r>
            <w:r w:rsidRPr="00C000B2">
              <w:t xml:space="preserve"> and overseas.</w:t>
            </w:r>
            <w:r w:rsidRPr="002767B4">
              <w:rPr>
                <w:vertAlign w:val="superscript"/>
              </w:rPr>
              <w:t>361</w:t>
            </w:r>
          </w:p>
        </w:tc>
      </w:tr>
    </w:tbl>
    <w:p w14:paraId="5B5DBC78" w14:textId="77777777" w:rsidR="00990345" w:rsidRPr="00C000B2" w:rsidRDefault="00990345" w:rsidP="002767B4">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3D33D26B" w14:textId="77777777" w:rsidTr="00AB11A2">
        <w:trPr>
          <w:cantSplit/>
        </w:trPr>
        <w:tc>
          <w:tcPr>
            <w:tcW w:w="8080" w:type="dxa"/>
            <w:gridSpan w:val="2"/>
            <w:tcBorders>
              <w:bottom w:val="nil"/>
            </w:tcBorders>
            <w:shd w:val="clear" w:color="auto" w:fill="D7EDE4"/>
          </w:tcPr>
          <w:p w14:paraId="3614209C" w14:textId="77777777" w:rsidR="0029210A" w:rsidRPr="00AB3864" w:rsidRDefault="0029210A" w:rsidP="002767B4">
            <w:pPr>
              <w:pStyle w:val="TableText"/>
              <w:keepNext/>
              <w:spacing w:before="120"/>
              <w:rPr>
                <w:b/>
                <w:sz w:val="22"/>
                <w:szCs w:val="22"/>
              </w:rPr>
            </w:pPr>
            <w:r w:rsidRPr="00AB3864">
              <w:rPr>
                <w:b/>
                <w:sz w:val="22"/>
                <w:szCs w:val="22"/>
              </w:rPr>
              <w:lastRenderedPageBreak/>
              <w:t xml:space="preserve">Action: </w:t>
            </w:r>
            <w:r w:rsidR="002767B4" w:rsidRPr="002767B4">
              <w:rPr>
                <w:sz w:val="22"/>
                <w:szCs w:val="22"/>
              </w:rPr>
              <w:t>Implement comprehensive sun protection policies and monitoring in all education settings</w:t>
            </w:r>
          </w:p>
        </w:tc>
      </w:tr>
      <w:tr w:rsidR="0029210A" w14:paraId="3CD23EF1" w14:textId="77777777" w:rsidTr="002767B4">
        <w:trPr>
          <w:cantSplit/>
        </w:trPr>
        <w:tc>
          <w:tcPr>
            <w:tcW w:w="4040" w:type="dxa"/>
            <w:tcBorders>
              <w:top w:val="nil"/>
              <w:bottom w:val="single" w:sz="8" w:space="0" w:color="22B893"/>
              <w:right w:val="dashed" w:sz="4" w:space="0" w:color="22B893"/>
            </w:tcBorders>
          </w:tcPr>
          <w:p w14:paraId="081C333C" w14:textId="77777777" w:rsidR="0029210A" w:rsidRPr="00AB3864" w:rsidRDefault="0029210A" w:rsidP="00AB11A2">
            <w:pPr>
              <w:pStyle w:val="TableText"/>
              <w:ind w:right="142"/>
              <w:rPr>
                <w:sz w:val="20"/>
              </w:rPr>
            </w:pPr>
            <w:r w:rsidRPr="00AB3864">
              <w:rPr>
                <w:sz w:val="20"/>
              </w:rPr>
              <w:t>What is the evidence?</w:t>
            </w:r>
          </w:p>
          <w:p w14:paraId="3CE6288A" w14:textId="77777777" w:rsidR="002767B4" w:rsidRPr="00C000B2" w:rsidRDefault="002767B4" w:rsidP="002767B4">
            <w:pPr>
              <w:pStyle w:val="TableText"/>
              <w:ind w:right="113"/>
            </w:pPr>
            <w:r w:rsidRPr="00C000B2">
              <w:t>Comprehensive school-based sun protection programmes (education plus environmental and policy change) are effective at increasing sun protection behaviours, decreasing UV</w:t>
            </w:r>
            <w:r>
              <w:t> </w:t>
            </w:r>
            <w:r w:rsidRPr="00C000B2">
              <w:t>radiation exposure and decreasing sunburn.</w:t>
            </w:r>
            <w:r w:rsidRPr="002767B4">
              <w:rPr>
                <w:vertAlign w:val="superscript"/>
              </w:rPr>
              <w:t>362</w:t>
            </w:r>
          </w:p>
          <w:p w14:paraId="64AE0242" w14:textId="77777777" w:rsidR="002767B4" w:rsidRPr="00C000B2" w:rsidRDefault="002767B4" w:rsidP="002767B4">
            <w:pPr>
              <w:pStyle w:val="TableText"/>
              <w:ind w:right="113"/>
            </w:pPr>
            <w:r w:rsidRPr="00C000B2">
              <w:t>Aotearoa schools enrolled in the Cancer Society’s SunSmart schools programme have better sun protection practices and are more likely to have a better policy (on wearing hats) than schools not enrolled.</w:t>
            </w:r>
            <w:r w:rsidRPr="002767B4">
              <w:rPr>
                <w:vertAlign w:val="superscript"/>
              </w:rPr>
              <w:t>363</w:t>
            </w:r>
          </w:p>
          <w:p w14:paraId="02998CCD" w14:textId="77777777" w:rsidR="0029210A" w:rsidRDefault="002767B4" w:rsidP="002767B4">
            <w:pPr>
              <w:pStyle w:val="TableText"/>
              <w:ind w:right="113"/>
            </w:pPr>
            <w:r w:rsidRPr="00C000B2">
              <w:t>As part of the Australian SunSmart schools programme, early childhood centres are required to have a sun protection policy for accreditation.</w:t>
            </w:r>
            <w:r w:rsidRPr="002767B4">
              <w:rPr>
                <w:vertAlign w:val="superscript"/>
              </w:rPr>
              <w:t>356</w:t>
            </w:r>
            <w:r w:rsidRPr="00C000B2">
              <w:t xml:space="preserve"> In Queensland, all schools are required to develop and implement a sun safety policy. Schools must supply sunscreen with a sun protection factor (SPF) of 30 or higher for students to use for all outdoor activities.</w:t>
            </w:r>
            <w:r w:rsidRPr="002767B4">
              <w:rPr>
                <w:vertAlign w:val="superscript"/>
              </w:rPr>
              <w:t>361</w:t>
            </w:r>
          </w:p>
        </w:tc>
        <w:tc>
          <w:tcPr>
            <w:tcW w:w="4040" w:type="dxa"/>
            <w:tcBorders>
              <w:top w:val="nil"/>
              <w:left w:val="dashed" w:sz="4" w:space="0" w:color="22B893"/>
              <w:bottom w:val="single" w:sz="8" w:space="0" w:color="22B893"/>
            </w:tcBorders>
          </w:tcPr>
          <w:p w14:paraId="57BB3A63" w14:textId="77777777" w:rsidR="0029210A" w:rsidRPr="00AB3864" w:rsidRDefault="0029210A" w:rsidP="00AB11A2">
            <w:pPr>
              <w:pStyle w:val="TableText"/>
              <w:ind w:left="113"/>
              <w:rPr>
                <w:sz w:val="20"/>
              </w:rPr>
            </w:pPr>
            <w:r w:rsidRPr="00AB3864">
              <w:rPr>
                <w:sz w:val="20"/>
              </w:rPr>
              <w:t>What is Aotearoa doing currently?</w:t>
            </w:r>
          </w:p>
          <w:p w14:paraId="44BBBE5C" w14:textId="77777777" w:rsidR="002767B4" w:rsidRPr="00C000B2" w:rsidRDefault="002767B4" w:rsidP="002767B4">
            <w:pPr>
              <w:pStyle w:val="TableText"/>
              <w:ind w:left="113"/>
            </w:pPr>
            <w:r w:rsidRPr="00C000B2">
              <w:t>Sun protection policies are not mandatory in Aotearoa education settings. Schools do not receive public funding to develop or implement sun protection policies or to provide shade structures.</w:t>
            </w:r>
            <w:r w:rsidRPr="002767B4">
              <w:rPr>
                <w:vertAlign w:val="superscript"/>
              </w:rPr>
              <w:t>364, 365</w:t>
            </w:r>
            <w:r w:rsidRPr="00C000B2">
              <w:t xml:space="preserve"> Although most primary schools (94</w:t>
            </w:r>
            <w:r>
              <w:t> </w:t>
            </w:r>
            <w:r w:rsidRPr="00C000B2">
              <w:t>percent) and half of secondary schools report</w:t>
            </w:r>
            <w:r>
              <w:t xml:space="preserve"> </w:t>
            </w:r>
            <w:r w:rsidRPr="00C000B2">
              <w:t>that they have a sun protection policy, these policies are not necessarily comprehensive or followed.</w:t>
            </w:r>
            <w:r w:rsidRPr="002767B4">
              <w:rPr>
                <w:vertAlign w:val="superscript"/>
              </w:rPr>
              <w:t>357, 366</w:t>
            </w:r>
          </w:p>
          <w:p w14:paraId="7182AA75" w14:textId="77777777" w:rsidR="0029210A" w:rsidRDefault="002767B4" w:rsidP="002767B4">
            <w:pPr>
              <w:pStyle w:val="TableText"/>
              <w:ind w:left="113"/>
            </w:pPr>
            <w:r w:rsidRPr="00C000B2">
              <w:t>The Cancer Society of New Zealand delivers a SunSmart schools programme that is broadly consistent with the Australian programme. It is Aotearoa’s only national sun protection intervention but does not receive any government funding. The programme is voluntary and is only available in primary and intermediate schools.</w:t>
            </w:r>
            <w:r w:rsidRPr="002767B4">
              <w:rPr>
                <w:vertAlign w:val="superscript"/>
              </w:rPr>
              <w:t>363</w:t>
            </w:r>
            <w:r w:rsidRPr="00C000B2">
              <w:t xml:space="preserve"> Only about</w:t>
            </w:r>
            <w:r>
              <w:t xml:space="preserve"> </w:t>
            </w:r>
            <w:r w:rsidRPr="00C000B2">
              <w:t>36</w:t>
            </w:r>
            <w:r>
              <w:t> </w:t>
            </w:r>
            <w:r w:rsidRPr="00C000B2">
              <w:t>percent of children of primary and intermediate age in Aotearoa attend a SunSmart accredited school.</w:t>
            </w:r>
            <w:r w:rsidRPr="002767B4">
              <w:rPr>
                <w:vertAlign w:val="superscript"/>
              </w:rPr>
              <w:t>367</w:t>
            </w:r>
            <w:r w:rsidRPr="00C000B2">
              <w:t xml:space="preserve"> The programme also provides policy and</w:t>
            </w:r>
            <w:r>
              <w:t xml:space="preserve"> </w:t>
            </w:r>
            <w:r w:rsidRPr="00C000B2">
              <w:t>support for early childhood centres.</w:t>
            </w:r>
          </w:p>
        </w:tc>
      </w:tr>
    </w:tbl>
    <w:p w14:paraId="68C587E1" w14:textId="77777777" w:rsidR="0029210A" w:rsidRPr="00C000B2" w:rsidRDefault="0029210A" w:rsidP="002767B4">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990345" w14:paraId="08717B62" w14:textId="77777777" w:rsidTr="00351028">
        <w:trPr>
          <w:cantSplit/>
        </w:trPr>
        <w:tc>
          <w:tcPr>
            <w:tcW w:w="426" w:type="dxa"/>
            <w:tcBorders>
              <w:right w:val="single" w:sz="48" w:space="0" w:color="FFFFFF" w:themeColor="background1"/>
            </w:tcBorders>
            <w:shd w:val="clear" w:color="auto" w:fill="22B893"/>
          </w:tcPr>
          <w:p w14:paraId="7CFAA4E4" w14:textId="77777777" w:rsidR="00990345" w:rsidRDefault="00990345" w:rsidP="00351028"/>
        </w:tc>
        <w:tc>
          <w:tcPr>
            <w:tcW w:w="7371" w:type="dxa"/>
          </w:tcPr>
          <w:p w14:paraId="3694BD15" w14:textId="77777777" w:rsidR="00990345" w:rsidRPr="002767B4" w:rsidRDefault="00990345" w:rsidP="00351028">
            <w:pPr>
              <w:pStyle w:val="TableText"/>
              <w:rPr>
                <w:sz w:val="22"/>
                <w:szCs w:val="22"/>
              </w:rPr>
            </w:pPr>
            <w:r w:rsidRPr="0029210A">
              <w:rPr>
                <w:b/>
                <w:sz w:val="22"/>
                <w:szCs w:val="22"/>
              </w:rPr>
              <w:t xml:space="preserve">Focus area: </w:t>
            </w:r>
            <w:r w:rsidR="002767B4" w:rsidRPr="002767B4">
              <w:rPr>
                <w:sz w:val="22"/>
                <w:szCs w:val="22"/>
              </w:rPr>
              <w:t>Create supportive work environments that protect people from exposure to excessive UV radiation</w:t>
            </w:r>
          </w:p>
          <w:p w14:paraId="0326AB05" w14:textId="77777777" w:rsidR="002767B4" w:rsidRPr="002767B4" w:rsidRDefault="002767B4" w:rsidP="002767B4">
            <w:pPr>
              <w:pStyle w:val="TableText"/>
              <w:rPr>
                <w:sz w:val="20"/>
              </w:rPr>
            </w:pPr>
            <w:r w:rsidRPr="002767B4">
              <w:rPr>
                <w:sz w:val="20"/>
              </w:rPr>
              <w:t>What do we know about the impact of work environments on exposure to UV radiation?</w:t>
            </w:r>
          </w:p>
          <w:p w14:paraId="7D7B90DD" w14:textId="77777777" w:rsidR="00990345" w:rsidRDefault="002767B4" w:rsidP="002767B4">
            <w:pPr>
              <w:pStyle w:val="TableText"/>
            </w:pPr>
            <w:r w:rsidRPr="00C000B2">
              <w:t xml:space="preserve">Workers in outdoor occupations such as agriculture, horticulture, farming, </w:t>
            </w:r>
            <w:proofErr w:type="gramStart"/>
            <w:r w:rsidRPr="00C000B2">
              <w:t>forestry</w:t>
            </w:r>
            <w:proofErr w:type="gramEnd"/>
            <w:r w:rsidRPr="00C000B2">
              <w:t xml:space="preserve"> and construction are exposed to high levels of UV radiation while at work.</w:t>
            </w:r>
            <w:r w:rsidRPr="002767B4">
              <w:rPr>
                <w:vertAlign w:val="superscript"/>
              </w:rPr>
              <w:t>368</w:t>
            </w:r>
            <w:r w:rsidRPr="00C000B2">
              <w:t xml:space="preserve"> Outdoor workers are exposed to UV radiation more often and for longer periods than indoor workers. As a result, they have higher cumulative levels of UV radiation exposure and a higher risk of developing skin cancer.</w:t>
            </w:r>
            <w:r w:rsidRPr="002767B4">
              <w:rPr>
                <w:vertAlign w:val="superscript"/>
              </w:rPr>
              <w:t>368</w:t>
            </w:r>
            <w:r w:rsidRPr="00C000B2">
              <w:t xml:space="preserve"> It is estimated that outdoor workers receive five to ten times more UV exposure each year than indoor workers.</w:t>
            </w:r>
            <w:r w:rsidRPr="002767B4">
              <w:rPr>
                <w:vertAlign w:val="superscript"/>
              </w:rPr>
              <w:t>369</w:t>
            </w:r>
          </w:p>
        </w:tc>
      </w:tr>
    </w:tbl>
    <w:p w14:paraId="049703D8" w14:textId="77777777" w:rsidR="00990345" w:rsidRPr="00C000B2" w:rsidRDefault="00990345" w:rsidP="002767B4">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0173EB5B" w14:textId="77777777" w:rsidTr="00AB11A2">
        <w:trPr>
          <w:cantSplit/>
        </w:trPr>
        <w:tc>
          <w:tcPr>
            <w:tcW w:w="8080" w:type="dxa"/>
            <w:gridSpan w:val="2"/>
            <w:tcBorders>
              <w:bottom w:val="nil"/>
            </w:tcBorders>
            <w:shd w:val="clear" w:color="auto" w:fill="D7EDE4"/>
          </w:tcPr>
          <w:p w14:paraId="307B3383" w14:textId="77777777" w:rsidR="0029210A" w:rsidRPr="00AB3864" w:rsidRDefault="0029210A" w:rsidP="000546DD">
            <w:pPr>
              <w:pStyle w:val="TableText"/>
              <w:keepNext/>
              <w:spacing w:before="120"/>
              <w:rPr>
                <w:b/>
                <w:sz w:val="22"/>
                <w:szCs w:val="22"/>
              </w:rPr>
            </w:pPr>
            <w:r w:rsidRPr="00AB3864">
              <w:rPr>
                <w:b/>
                <w:sz w:val="22"/>
                <w:szCs w:val="22"/>
              </w:rPr>
              <w:lastRenderedPageBreak/>
              <w:t xml:space="preserve">Action: </w:t>
            </w:r>
            <w:r w:rsidR="002767B4" w:rsidRPr="002767B4">
              <w:rPr>
                <w:sz w:val="22"/>
                <w:szCs w:val="22"/>
              </w:rPr>
              <w:t>Ensure employers are meeting their legal obligations to protect workers from sun exposure</w:t>
            </w:r>
          </w:p>
        </w:tc>
      </w:tr>
      <w:tr w:rsidR="0029210A" w14:paraId="4178FD92" w14:textId="77777777" w:rsidTr="000546DD">
        <w:trPr>
          <w:cantSplit/>
        </w:trPr>
        <w:tc>
          <w:tcPr>
            <w:tcW w:w="4040" w:type="dxa"/>
            <w:tcBorders>
              <w:top w:val="nil"/>
              <w:bottom w:val="single" w:sz="8" w:space="0" w:color="22B893"/>
              <w:right w:val="dashed" w:sz="4" w:space="0" w:color="22B893"/>
            </w:tcBorders>
          </w:tcPr>
          <w:p w14:paraId="5718AF77" w14:textId="77777777" w:rsidR="0029210A" w:rsidRPr="00AB3864" w:rsidRDefault="0029210A" w:rsidP="00AB11A2">
            <w:pPr>
              <w:pStyle w:val="TableText"/>
              <w:ind w:right="142"/>
              <w:rPr>
                <w:sz w:val="20"/>
              </w:rPr>
            </w:pPr>
            <w:r w:rsidRPr="00AB3864">
              <w:rPr>
                <w:sz w:val="20"/>
              </w:rPr>
              <w:t>What is the evidence?</w:t>
            </w:r>
          </w:p>
          <w:p w14:paraId="691044EA" w14:textId="77777777" w:rsidR="002767B4" w:rsidRPr="00C000B2" w:rsidRDefault="002767B4" w:rsidP="002767B4">
            <w:pPr>
              <w:pStyle w:val="TableText"/>
              <w:ind w:right="113"/>
            </w:pPr>
            <w:r w:rsidRPr="00C000B2">
              <w:t>Workplace skin cancer prevention programmes are effective at increasing outdoor workers’ sun protective behaviours and reducing sunburns.</w:t>
            </w:r>
            <w:r w:rsidRPr="002767B4">
              <w:rPr>
                <w:vertAlign w:val="superscript"/>
              </w:rPr>
              <w:t>370</w:t>
            </w:r>
            <w:r w:rsidRPr="00C000B2">
              <w:t xml:space="preserve"> In Aotearoa, better workplace safety culture in workplaces is associated with better personal sun protection practices.</w:t>
            </w:r>
            <w:r w:rsidRPr="002767B4">
              <w:rPr>
                <w:vertAlign w:val="superscript"/>
              </w:rPr>
              <w:t>371</w:t>
            </w:r>
          </w:p>
          <w:p w14:paraId="3030C4C3" w14:textId="77777777" w:rsidR="0029210A" w:rsidRDefault="002767B4" w:rsidP="002767B4">
            <w:pPr>
              <w:pStyle w:val="TableText"/>
              <w:ind w:right="113"/>
            </w:pPr>
            <w:r w:rsidRPr="00C000B2">
              <w:t>Australian work health and safety laws require employers to eliminate or minimise the risks to workers from exposure to UV radiation.</w:t>
            </w:r>
            <w:r w:rsidRPr="002767B4">
              <w:rPr>
                <w:vertAlign w:val="superscript"/>
              </w:rPr>
              <w:t>372</w:t>
            </w:r>
            <w:r w:rsidRPr="00C000B2">
              <w:t xml:space="preserve"> Safe Work Australia and the Australian Cancer Council have produced clear guidelines for</w:t>
            </w:r>
            <w:r>
              <w:t xml:space="preserve"> </w:t>
            </w:r>
            <w:r w:rsidRPr="00C000B2">
              <w:t>employers and employees on how to meet their obligations and reduce UV radiation exposure</w:t>
            </w:r>
            <w:r>
              <w:t xml:space="preserve"> </w:t>
            </w:r>
            <w:r w:rsidRPr="00C000B2">
              <w:t>for outdoor workers.</w:t>
            </w:r>
          </w:p>
        </w:tc>
        <w:tc>
          <w:tcPr>
            <w:tcW w:w="4040" w:type="dxa"/>
            <w:tcBorders>
              <w:top w:val="nil"/>
              <w:left w:val="dashed" w:sz="4" w:space="0" w:color="22B893"/>
              <w:bottom w:val="single" w:sz="8" w:space="0" w:color="22B893"/>
            </w:tcBorders>
          </w:tcPr>
          <w:p w14:paraId="59F93B10" w14:textId="77777777" w:rsidR="0029210A" w:rsidRPr="00AB3864" w:rsidRDefault="0029210A" w:rsidP="00AB11A2">
            <w:pPr>
              <w:pStyle w:val="TableText"/>
              <w:ind w:left="113"/>
              <w:rPr>
                <w:sz w:val="20"/>
              </w:rPr>
            </w:pPr>
            <w:r w:rsidRPr="00AB3864">
              <w:rPr>
                <w:sz w:val="20"/>
              </w:rPr>
              <w:t>What is Aotearoa doing currently?</w:t>
            </w:r>
          </w:p>
          <w:p w14:paraId="495BC6EE" w14:textId="77777777" w:rsidR="002767B4" w:rsidRPr="00C000B2" w:rsidRDefault="002767B4" w:rsidP="002767B4">
            <w:pPr>
              <w:pStyle w:val="TableText"/>
              <w:ind w:left="113"/>
            </w:pPr>
            <w:r w:rsidRPr="00C000B2">
              <w:t>The Health and Safety at Work Act 2015 places obligations on employers to protect workers from exposure to hazards such as UV</w:t>
            </w:r>
            <w:r w:rsidR="000546DD">
              <w:t> </w:t>
            </w:r>
            <w:r w:rsidRPr="00C000B2">
              <w:t>radiation.</w:t>
            </w:r>
            <w:r w:rsidRPr="002767B4">
              <w:rPr>
                <w:vertAlign w:val="superscript"/>
              </w:rPr>
              <w:t>373</w:t>
            </w:r>
            <w:r w:rsidRPr="00C000B2">
              <w:t xml:space="preserve"> Businesses are required to identify and manage potential health risks, </w:t>
            </w:r>
            <w:proofErr w:type="gramStart"/>
            <w:r w:rsidRPr="00C000B2">
              <w:t>monitor</w:t>
            </w:r>
            <w:proofErr w:type="gramEnd"/>
            <w:r w:rsidRPr="00C000B2">
              <w:t xml:space="preserve"> and minimise levels of exposure, and monitor the health of workers</w:t>
            </w:r>
            <w:r>
              <w:t xml:space="preserve"> </w:t>
            </w:r>
            <w:r w:rsidRPr="00C000B2">
              <w:t>to enable early diagnosis of any work-related diseases. Several organisations – including WorkSafe, Te</w:t>
            </w:r>
            <w:r>
              <w:t> </w:t>
            </w:r>
            <w:r w:rsidRPr="00C000B2">
              <w:t>Hiringa Hauora | Health Promotion Agency (</w:t>
            </w:r>
            <w:hyperlink r:id="rId64" w:history="1">
              <w:r w:rsidRPr="002767B4">
                <w:rPr>
                  <w:rStyle w:val="Hyperlink"/>
                </w:rPr>
                <w:t>wellplace.nz</w:t>
              </w:r>
            </w:hyperlink>
            <w:r>
              <w:t xml:space="preserve"> </w:t>
            </w:r>
            <w:r w:rsidRPr="00C000B2">
              <w:t>), the Cancer Society of New Zealand and Business.govt.nz – offer support, including guidelines and information.</w:t>
            </w:r>
          </w:p>
          <w:p w14:paraId="60EB6470" w14:textId="77777777" w:rsidR="0029210A" w:rsidRDefault="002767B4" w:rsidP="000546DD">
            <w:pPr>
              <w:pStyle w:val="TableText"/>
              <w:ind w:left="113"/>
            </w:pPr>
            <w:r w:rsidRPr="00C000B2">
              <w:t>It is unclear how many workplaces have implemented sun protection policies, whether current programmes provide sufficient protection from UV</w:t>
            </w:r>
            <w:r w:rsidR="000546DD">
              <w:t> </w:t>
            </w:r>
            <w:r w:rsidRPr="00C000B2">
              <w:t>radiation exposure and how compliance is monitored.</w:t>
            </w:r>
          </w:p>
        </w:tc>
      </w:tr>
    </w:tbl>
    <w:p w14:paraId="59A49E8F" w14:textId="77777777" w:rsidR="0029210A" w:rsidRPr="00C000B2" w:rsidRDefault="0029210A" w:rsidP="000546DD">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990345" w14:paraId="32B259F3" w14:textId="77777777" w:rsidTr="00351028">
        <w:trPr>
          <w:cantSplit/>
        </w:trPr>
        <w:tc>
          <w:tcPr>
            <w:tcW w:w="426" w:type="dxa"/>
            <w:tcBorders>
              <w:right w:val="single" w:sz="48" w:space="0" w:color="FFFFFF" w:themeColor="background1"/>
            </w:tcBorders>
            <w:shd w:val="clear" w:color="auto" w:fill="22B893"/>
          </w:tcPr>
          <w:p w14:paraId="1B63A998" w14:textId="77777777" w:rsidR="00990345" w:rsidRDefault="00990345" w:rsidP="00351028"/>
        </w:tc>
        <w:tc>
          <w:tcPr>
            <w:tcW w:w="7371" w:type="dxa"/>
          </w:tcPr>
          <w:p w14:paraId="596DF74C" w14:textId="77777777" w:rsidR="00990345" w:rsidRPr="0029210A" w:rsidRDefault="00990345" w:rsidP="00351028">
            <w:pPr>
              <w:pStyle w:val="TableText"/>
              <w:rPr>
                <w:sz w:val="22"/>
                <w:szCs w:val="22"/>
              </w:rPr>
            </w:pPr>
            <w:r w:rsidRPr="0029210A">
              <w:rPr>
                <w:b/>
                <w:sz w:val="22"/>
                <w:szCs w:val="22"/>
              </w:rPr>
              <w:t xml:space="preserve">Focus area: </w:t>
            </w:r>
            <w:r w:rsidR="000546DD" w:rsidRPr="000546DD">
              <w:rPr>
                <w:sz w:val="22"/>
                <w:szCs w:val="22"/>
              </w:rPr>
              <w:t>Increase access to affordable, high-quality sunscreen</w:t>
            </w:r>
          </w:p>
          <w:p w14:paraId="6AB4F899" w14:textId="77777777" w:rsidR="000546DD" w:rsidRPr="000546DD" w:rsidRDefault="000546DD" w:rsidP="000546DD">
            <w:pPr>
              <w:pStyle w:val="TableText"/>
              <w:rPr>
                <w:sz w:val="20"/>
              </w:rPr>
            </w:pPr>
            <w:r w:rsidRPr="000546DD">
              <w:rPr>
                <w:sz w:val="20"/>
              </w:rPr>
              <w:t>What do we know about the impact of affordability on sunscreen use?</w:t>
            </w:r>
          </w:p>
          <w:p w14:paraId="3BB1E531" w14:textId="77777777" w:rsidR="00990345" w:rsidRDefault="000546DD" w:rsidP="000546DD">
            <w:pPr>
              <w:pStyle w:val="TableText"/>
            </w:pPr>
            <w:r w:rsidRPr="00C000B2">
              <w:t>Cost has been identified as a barrier to regular sunscreen use in Aotearoa</w:t>
            </w:r>
            <w:r w:rsidRPr="000546DD">
              <w:rPr>
                <w:vertAlign w:val="superscript"/>
              </w:rPr>
              <w:t>373</w:t>
            </w:r>
            <w:r w:rsidRPr="00C000B2">
              <w:t xml:space="preserve"> and internationally.</w:t>
            </w:r>
            <w:r w:rsidRPr="000546DD">
              <w:rPr>
                <w:vertAlign w:val="superscript"/>
              </w:rPr>
              <w:t>374,</w:t>
            </w:r>
            <w:r>
              <w:rPr>
                <w:vertAlign w:val="superscript"/>
              </w:rPr>
              <w:t> </w:t>
            </w:r>
            <w:r w:rsidRPr="000546DD">
              <w:rPr>
                <w:vertAlign w:val="superscript"/>
              </w:rPr>
              <w:t>378</w:t>
            </w:r>
          </w:p>
        </w:tc>
      </w:tr>
    </w:tbl>
    <w:p w14:paraId="7F318E40" w14:textId="77777777" w:rsidR="00990345" w:rsidRDefault="00990345" w:rsidP="000546DD">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2F50F15C" w14:textId="77777777" w:rsidTr="00AB11A2">
        <w:trPr>
          <w:cantSplit/>
        </w:trPr>
        <w:tc>
          <w:tcPr>
            <w:tcW w:w="8080" w:type="dxa"/>
            <w:gridSpan w:val="2"/>
            <w:tcBorders>
              <w:bottom w:val="nil"/>
            </w:tcBorders>
            <w:shd w:val="clear" w:color="auto" w:fill="D7EDE4"/>
          </w:tcPr>
          <w:p w14:paraId="2B2B1853" w14:textId="77777777" w:rsidR="0029210A" w:rsidRPr="00AB3864" w:rsidRDefault="0029210A" w:rsidP="000546DD">
            <w:pPr>
              <w:pStyle w:val="TableText"/>
              <w:spacing w:before="120"/>
              <w:rPr>
                <w:b/>
                <w:sz w:val="22"/>
                <w:szCs w:val="22"/>
              </w:rPr>
            </w:pPr>
            <w:r w:rsidRPr="00AB3864">
              <w:rPr>
                <w:b/>
                <w:sz w:val="22"/>
                <w:szCs w:val="22"/>
              </w:rPr>
              <w:t xml:space="preserve">Action: </w:t>
            </w:r>
            <w:r w:rsidR="000546DD" w:rsidRPr="000546DD">
              <w:rPr>
                <w:sz w:val="22"/>
                <w:szCs w:val="22"/>
              </w:rPr>
              <w:t>Increase access to affordable sunscreen</w:t>
            </w:r>
          </w:p>
        </w:tc>
      </w:tr>
      <w:tr w:rsidR="0029210A" w14:paraId="509AC450" w14:textId="77777777" w:rsidTr="000546DD">
        <w:trPr>
          <w:cantSplit/>
        </w:trPr>
        <w:tc>
          <w:tcPr>
            <w:tcW w:w="4040" w:type="dxa"/>
            <w:tcBorders>
              <w:top w:val="nil"/>
              <w:bottom w:val="single" w:sz="8" w:space="0" w:color="22B893"/>
              <w:right w:val="dashed" w:sz="4" w:space="0" w:color="22B893"/>
            </w:tcBorders>
          </w:tcPr>
          <w:p w14:paraId="4F481BA8" w14:textId="77777777" w:rsidR="0029210A" w:rsidRPr="00AB3864" w:rsidRDefault="0029210A" w:rsidP="00AB11A2">
            <w:pPr>
              <w:pStyle w:val="TableText"/>
              <w:ind w:right="142"/>
              <w:rPr>
                <w:sz w:val="20"/>
              </w:rPr>
            </w:pPr>
            <w:r w:rsidRPr="00AB3864">
              <w:rPr>
                <w:sz w:val="20"/>
              </w:rPr>
              <w:t>What is the evidence?</w:t>
            </w:r>
          </w:p>
          <w:p w14:paraId="1C59CF94" w14:textId="77777777" w:rsidR="000546DD" w:rsidRPr="00C000B2" w:rsidRDefault="000546DD" w:rsidP="000546DD">
            <w:pPr>
              <w:pStyle w:val="TableText"/>
              <w:ind w:right="113"/>
            </w:pPr>
            <w:r w:rsidRPr="00C000B2">
              <w:t>When applied correctly, sunscreen with an SPF of more than 30 is highly effective for preventing skin</w:t>
            </w:r>
            <w:r>
              <w:t xml:space="preserve"> </w:t>
            </w:r>
            <w:r w:rsidRPr="00C000B2">
              <w:t>cancer.</w:t>
            </w:r>
            <w:r w:rsidRPr="000546DD">
              <w:rPr>
                <w:vertAlign w:val="superscript"/>
              </w:rPr>
              <w:t>377</w:t>
            </w:r>
            <w:r w:rsidRPr="00C000B2">
              <w:t xml:space="preserve"> Daily sunscreen use is more effective and cost-effective than early detection programmes.</w:t>
            </w:r>
            <w:r w:rsidRPr="000546DD">
              <w:rPr>
                <w:vertAlign w:val="superscript"/>
              </w:rPr>
              <w:t>377, 378</w:t>
            </w:r>
          </w:p>
          <w:p w14:paraId="3C7D288C" w14:textId="77777777" w:rsidR="0029210A" w:rsidRDefault="000546DD" w:rsidP="000546DD">
            <w:pPr>
              <w:pStyle w:val="TableText"/>
              <w:ind w:right="113"/>
            </w:pPr>
            <w:r w:rsidRPr="00C000B2">
              <w:t>In Australia, sunscreen is subsidised for veterans under the Pharmaceutical Benefits scheme</w:t>
            </w:r>
            <w:r w:rsidRPr="000546DD">
              <w:rPr>
                <w:vertAlign w:val="superscript"/>
              </w:rPr>
              <w:t>379</w:t>
            </w:r>
            <w:r w:rsidRPr="00C000B2">
              <w:t xml:space="preserve"> and is tax deductible for outdoor workers.</w:t>
            </w:r>
          </w:p>
        </w:tc>
        <w:tc>
          <w:tcPr>
            <w:tcW w:w="4040" w:type="dxa"/>
            <w:tcBorders>
              <w:top w:val="nil"/>
              <w:left w:val="dashed" w:sz="4" w:space="0" w:color="22B893"/>
              <w:bottom w:val="single" w:sz="8" w:space="0" w:color="22B893"/>
            </w:tcBorders>
          </w:tcPr>
          <w:p w14:paraId="28895D26" w14:textId="77777777" w:rsidR="0029210A" w:rsidRPr="00AB3864" w:rsidRDefault="0029210A" w:rsidP="00AB11A2">
            <w:pPr>
              <w:pStyle w:val="TableText"/>
              <w:ind w:left="113"/>
              <w:rPr>
                <w:sz w:val="20"/>
              </w:rPr>
            </w:pPr>
            <w:r w:rsidRPr="00AB3864">
              <w:rPr>
                <w:sz w:val="20"/>
              </w:rPr>
              <w:t>What is Aotearoa doing currently?</w:t>
            </w:r>
          </w:p>
          <w:p w14:paraId="38C74FED" w14:textId="77777777" w:rsidR="000546DD" w:rsidRPr="00C000B2" w:rsidRDefault="000546DD" w:rsidP="000546DD">
            <w:pPr>
              <w:pStyle w:val="TableText"/>
              <w:ind w:left="113"/>
            </w:pPr>
            <w:r w:rsidRPr="00C000B2">
              <w:t xml:space="preserve">Aotearoa has no regular monitoring and reporting of the availability, </w:t>
            </w:r>
            <w:proofErr w:type="gramStart"/>
            <w:r w:rsidRPr="00C000B2">
              <w:t>accessibility</w:t>
            </w:r>
            <w:proofErr w:type="gramEnd"/>
            <w:r w:rsidRPr="00C000B2">
              <w:t xml:space="preserve"> and affordability of sunscreen.</w:t>
            </w:r>
          </w:p>
          <w:p w14:paraId="5151F7C3" w14:textId="77777777" w:rsidR="0029210A" w:rsidRDefault="000546DD" w:rsidP="000546DD">
            <w:pPr>
              <w:pStyle w:val="TableText"/>
              <w:ind w:left="113"/>
            </w:pPr>
            <w:r w:rsidRPr="00C000B2">
              <w:t>In Aotearoa, the price of sunscreen varies significantly between different brands and retailers. Access to free or subsidised sunscreen is available in some situations. For example, the Pharmaceutical Management Agency Ltd (PHARMAC) fully subsidises sunscreen for people with medical conditions that make them highly sensitive to UV radiation. Sunscreen and other sun protection are tax deductible for employers in some industries. Employers should provide their outdoor workers with sunscreen. Some schools provide sunscreen to students and staff prior to outdoor activities, although this is not a requirement in Aotearoa schools.</w:t>
            </w:r>
          </w:p>
        </w:tc>
      </w:tr>
    </w:tbl>
    <w:p w14:paraId="5C6A0E0C" w14:textId="77777777" w:rsidR="0029210A" w:rsidRPr="00C000B2" w:rsidRDefault="0029210A" w:rsidP="000546DD">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6C0A06A7" w14:textId="77777777" w:rsidTr="00AB11A2">
        <w:trPr>
          <w:cantSplit/>
        </w:trPr>
        <w:tc>
          <w:tcPr>
            <w:tcW w:w="8080" w:type="dxa"/>
            <w:gridSpan w:val="2"/>
            <w:tcBorders>
              <w:bottom w:val="nil"/>
            </w:tcBorders>
            <w:shd w:val="clear" w:color="auto" w:fill="D7EDE4"/>
          </w:tcPr>
          <w:p w14:paraId="6BA9CC28" w14:textId="77777777" w:rsidR="0029210A" w:rsidRPr="00AB3864" w:rsidRDefault="0029210A" w:rsidP="000546DD">
            <w:pPr>
              <w:pStyle w:val="TableText"/>
              <w:spacing w:before="120"/>
              <w:rPr>
                <w:b/>
                <w:sz w:val="22"/>
                <w:szCs w:val="22"/>
              </w:rPr>
            </w:pPr>
            <w:r w:rsidRPr="00AB3864">
              <w:rPr>
                <w:b/>
                <w:sz w:val="22"/>
                <w:szCs w:val="22"/>
              </w:rPr>
              <w:lastRenderedPageBreak/>
              <w:t xml:space="preserve">Action: </w:t>
            </w:r>
            <w:r w:rsidR="000546DD" w:rsidRPr="000546DD">
              <w:rPr>
                <w:sz w:val="22"/>
                <w:szCs w:val="22"/>
              </w:rPr>
              <w:t xml:space="preserve">Regulate sunscreen to ensure all sunscreens meet accepted standards for safety, </w:t>
            </w:r>
            <w:proofErr w:type="gramStart"/>
            <w:r w:rsidR="000546DD" w:rsidRPr="000546DD">
              <w:rPr>
                <w:sz w:val="22"/>
                <w:szCs w:val="22"/>
              </w:rPr>
              <w:t>quality</w:t>
            </w:r>
            <w:proofErr w:type="gramEnd"/>
            <w:r w:rsidR="000546DD" w:rsidRPr="000546DD">
              <w:rPr>
                <w:sz w:val="22"/>
                <w:szCs w:val="22"/>
              </w:rPr>
              <w:t xml:space="preserve"> and effectiveness</w:t>
            </w:r>
          </w:p>
        </w:tc>
      </w:tr>
      <w:tr w:rsidR="0029210A" w14:paraId="4599EFD3" w14:textId="77777777" w:rsidTr="000546DD">
        <w:trPr>
          <w:cantSplit/>
        </w:trPr>
        <w:tc>
          <w:tcPr>
            <w:tcW w:w="4040" w:type="dxa"/>
            <w:tcBorders>
              <w:top w:val="nil"/>
              <w:bottom w:val="single" w:sz="8" w:space="0" w:color="22B893"/>
              <w:right w:val="dashed" w:sz="4" w:space="0" w:color="22B893"/>
            </w:tcBorders>
          </w:tcPr>
          <w:p w14:paraId="57AE12B4" w14:textId="77777777" w:rsidR="0029210A" w:rsidRPr="00AB3864" w:rsidRDefault="0029210A" w:rsidP="00AB11A2">
            <w:pPr>
              <w:pStyle w:val="TableText"/>
              <w:ind w:right="142"/>
              <w:rPr>
                <w:sz w:val="20"/>
              </w:rPr>
            </w:pPr>
            <w:r w:rsidRPr="00AB3864">
              <w:rPr>
                <w:sz w:val="20"/>
              </w:rPr>
              <w:t>What is the evidence?</w:t>
            </w:r>
          </w:p>
          <w:p w14:paraId="4C105BBB" w14:textId="77777777" w:rsidR="000546DD" w:rsidRPr="00C000B2" w:rsidRDefault="000546DD" w:rsidP="000546DD">
            <w:pPr>
              <w:pStyle w:val="TableText"/>
              <w:ind w:right="113"/>
            </w:pPr>
            <w:r w:rsidRPr="00C000B2">
              <w:t>Australia has adopted into law the joint Australian/New Zealand Sunscreen Standard (AS/NZS 2604:2012), which sets out performance, testing and labelling requirements.</w:t>
            </w:r>
            <w:r w:rsidRPr="000546DD">
              <w:rPr>
                <w:vertAlign w:val="superscript"/>
              </w:rPr>
              <w:t>380</w:t>
            </w:r>
            <w:r w:rsidRPr="00C000B2">
              <w:t xml:space="preserve"> Also in Australia, sunscreen products with an SPF of more than 4 are regulated as therapeutic goods by the Therapeutic Goods Administration. Manufacturers must provide evidence of testing in accordance with the mandatory sunscreen standard.</w:t>
            </w:r>
            <w:r w:rsidRPr="000546DD">
              <w:rPr>
                <w:vertAlign w:val="superscript"/>
              </w:rPr>
              <w:t>380</w:t>
            </w:r>
          </w:p>
          <w:p w14:paraId="2A9BF4B2" w14:textId="77777777" w:rsidR="0029210A" w:rsidRDefault="000546DD" w:rsidP="000546DD">
            <w:pPr>
              <w:pStyle w:val="TableText"/>
              <w:ind w:right="113"/>
            </w:pPr>
            <w:r w:rsidRPr="00C000B2">
              <w:t>Submissions from the general public and health professionals on the draft Therapeutic Products Bill and the Sunscreen (Product Safety Standard) Bill supported mandatory regulation of sunscreens.</w:t>
            </w:r>
            <w:r w:rsidRPr="000546DD">
              <w:rPr>
                <w:vertAlign w:val="superscript"/>
              </w:rPr>
              <w:t>380, 381</w:t>
            </w:r>
            <w:r w:rsidRPr="00C000B2">
              <w:t xml:space="preserve"> Many experts</w:t>
            </w:r>
            <w:r>
              <w:t xml:space="preserve"> </w:t>
            </w:r>
            <w:r w:rsidRPr="00C000B2">
              <w:t>indicated that regulation of sunscreens as a therapeutic product would be their preferred option.</w:t>
            </w:r>
          </w:p>
        </w:tc>
        <w:tc>
          <w:tcPr>
            <w:tcW w:w="4040" w:type="dxa"/>
            <w:tcBorders>
              <w:top w:val="nil"/>
              <w:left w:val="dashed" w:sz="4" w:space="0" w:color="22B893"/>
              <w:bottom w:val="single" w:sz="8" w:space="0" w:color="22B893"/>
            </w:tcBorders>
          </w:tcPr>
          <w:p w14:paraId="3C070963" w14:textId="77777777" w:rsidR="0029210A" w:rsidRPr="00AB3864" w:rsidRDefault="0029210A" w:rsidP="00AB11A2">
            <w:pPr>
              <w:pStyle w:val="TableText"/>
              <w:ind w:left="113"/>
              <w:rPr>
                <w:sz w:val="20"/>
              </w:rPr>
            </w:pPr>
            <w:r w:rsidRPr="00AB3864">
              <w:rPr>
                <w:sz w:val="20"/>
              </w:rPr>
              <w:t>What is Aotearoa doing currently?</w:t>
            </w:r>
          </w:p>
          <w:p w14:paraId="74FFE1B2" w14:textId="77777777" w:rsidR="000546DD" w:rsidRPr="00C000B2" w:rsidRDefault="000546DD" w:rsidP="000546DD">
            <w:pPr>
              <w:pStyle w:val="TableText"/>
              <w:ind w:left="113"/>
            </w:pPr>
            <w:r w:rsidRPr="00C000B2">
              <w:t xml:space="preserve">Sunscreens are currently classified as cosmetics rather than therapeutic products in Aotearoa. This means </w:t>
            </w:r>
            <w:proofErr w:type="spellStart"/>
            <w:r w:rsidRPr="00C000B2">
              <w:t>Medsafe</w:t>
            </w:r>
            <w:proofErr w:type="spellEnd"/>
            <w:r w:rsidRPr="00C000B2">
              <w:t xml:space="preserve"> (the medicines regulator of Aotearoa) does not assess their safety, </w:t>
            </w:r>
            <w:proofErr w:type="gramStart"/>
            <w:r w:rsidRPr="00C000B2">
              <w:t>quality</w:t>
            </w:r>
            <w:proofErr w:type="gramEnd"/>
            <w:r w:rsidRPr="00C000B2">
              <w:t xml:space="preserve"> and effectiveness so these factors cannot be assured.</w:t>
            </w:r>
            <w:r w:rsidRPr="000546DD">
              <w:rPr>
                <w:vertAlign w:val="superscript"/>
              </w:rPr>
              <w:t>382</w:t>
            </w:r>
            <w:r w:rsidRPr="00C000B2">
              <w:t xml:space="preserve"> Although Aotearoa has adopted the joint Australia/New Zealand Sunscreen Standard (AS/NZ 2604:2021), compliance with the standard is voluntary. However, Consumer testing has consistently found that many sunscreens do not meet the SPF claims on their labels.</w:t>
            </w:r>
            <w:r w:rsidRPr="000546DD">
              <w:rPr>
                <w:vertAlign w:val="superscript"/>
              </w:rPr>
              <w:t>383</w:t>
            </w:r>
          </w:p>
          <w:p w14:paraId="1782557D" w14:textId="77777777" w:rsidR="000546DD" w:rsidRPr="00C000B2" w:rsidRDefault="000546DD" w:rsidP="000546DD">
            <w:pPr>
              <w:pStyle w:val="TableText"/>
              <w:ind w:left="113"/>
            </w:pPr>
            <w:r w:rsidRPr="00C000B2">
              <w:t>Options for regulating sunscreens in Aotearoa are currently being considered. These include:</w:t>
            </w:r>
          </w:p>
          <w:p w14:paraId="7E165E92" w14:textId="77777777" w:rsidR="000546DD" w:rsidRPr="00C000B2" w:rsidRDefault="000546DD" w:rsidP="000546DD">
            <w:pPr>
              <w:pStyle w:val="TableBullet"/>
              <w:tabs>
                <w:tab w:val="clear" w:pos="284"/>
              </w:tabs>
              <w:ind w:left="397"/>
            </w:pPr>
            <w:r w:rsidRPr="00C000B2">
              <w:t xml:space="preserve">the Sunscreen (Product Safety Standard) Bill, a private member’s bill for mandatory regulation of sunscreen under the </w:t>
            </w:r>
            <w:proofErr w:type="gramStart"/>
            <w:r w:rsidRPr="00C000B2">
              <w:t>Fair Trading</w:t>
            </w:r>
            <w:proofErr w:type="gramEnd"/>
            <w:r w:rsidRPr="00C000B2">
              <w:t xml:space="preserve"> Act 1986, which is currently at Select Committee</w:t>
            </w:r>
            <w:r w:rsidRPr="000546DD">
              <w:rPr>
                <w:vertAlign w:val="superscript"/>
              </w:rPr>
              <w:t>380</w:t>
            </w:r>
          </w:p>
          <w:p w14:paraId="3B36EFCA" w14:textId="77777777" w:rsidR="0029210A" w:rsidRPr="000546DD" w:rsidRDefault="000546DD" w:rsidP="000546DD">
            <w:pPr>
              <w:pStyle w:val="TableBullet"/>
              <w:tabs>
                <w:tab w:val="clear" w:pos="284"/>
              </w:tabs>
              <w:ind w:left="397"/>
            </w:pPr>
            <w:r w:rsidRPr="00C000B2">
              <w:t>the draft Therapeutic Products Bill, which will replace the Medicines Act 1981 and will enable sunscreens to be declared a therapeutic product and be regulated as such. Consultation was completed in 2019 but the Bill has not yet entered the parliamentary process as at January 2022.</w:t>
            </w:r>
            <w:r w:rsidRPr="000546DD">
              <w:rPr>
                <w:vertAlign w:val="superscript"/>
              </w:rPr>
              <w:t>381</w:t>
            </w:r>
          </w:p>
        </w:tc>
      </w:tr>
    </w:tbl>
    <w:p w14:paraId="3D924A85" w14:textId="77777777" w:rsidR="0029210A" w:rsidRPr="00C000B2" w:rsidRDefault="0029210A" w:rsidP="000546DD">
      <w:pPr>
        <w:spacing w:after="240"/>
      </w:pPr>
    </w:p>
    <w:p w14:paraId="30419421" w14:textId="77777777" w:rsidR="00EF27EC" w:rsidRPr="00C000B2" w:rsidRDefault="00EF27EC" w:rsidP="000546DD">
      <w:r w:rsidRPr="00C000B2">
        <w:rPr>
          <w:noProof/>
          <w:lang w:eastAsia="en-NZ"/>
        </w:rPr>
        <mc:AlternateContent>
          <mc:Choice Requires="wps">
            <w:drawing>
              <wp:anchor distT="0" distB="0" distL="114300" distR="114300" simplePos="0" relativeHeight="252096512" behindDoc="1" locked="0" layoutInCell="1" allowOverlap="1" wp14:anchorId="40061695" wp14:editId="7FA3F95B">
                <wp:simplePos x="0" y="0"/>
                <wp:positionH relativeFrom="page">
                  <wp:posOffset>3177540</wp:posOffset>
                </wp:positionH>
                <wp:positionV relativeFrom="paragraph">
                  <wp:posOffset>-29210</wp:posOffset>
                </wp:positionV>
                <wp:extent cx="12700" cy="12700"/>
                <wp:effectExtent l="5715" t="2540" r="635" b="3810"/>
                <wp:wrapNone/>
                <wp:docPr id="563" name="Freeform 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004 5004"/>
                            <a:gd name="T1" fmla="*/ T0 w 20"/>
                            <a:gd name="T2" fmla="+- 0 -36 -46"/>
                            <a:gd name="T3" fmla="*/ -36 h 20"/>
                            <a:gd name="T4" fmla="+- 0 5007 5004"/>
                            <a:gd name="T5" fmla="*/ T4 w 20"/>
                            <a:gd name="T6" fmla="+- 0 -43 -46"/>
                            <a:gd name="T7" fmla="*/ -43 h 20"/>
                            <a:gd name="T8" fmla="+- 0 5014 5004"/>
                            <a:gd name="T9" fmla="*/ T8 w 20"/>
                            <a:gd name="T10" fmla="+- 0 -46 -46"/>
                            <a:gd name="T11" fmla="*/ -46 h 20"/>
                            <a:gd name="T12" fmla="+- 0 5021 5004"/>
                            <a:gd name="T13" fmla="*/ T12 w 20"/>
                            <a:gd name="T14" fmla="+- 0 -43 -46"/>
                            <a:gd name="T15" fmla="*/ -43 h 20"/>
                            <a:gd name="T16" fmla="+- 0 5024 5004"/>
                            <a:gd name="T17" fmla="*/ T16 w 20"/>
                            <a:gd name="T18" fmla="+- 0 -36 -46"/>
                            <a:gd name="T19" fmla="*/ -36 h 20"/>
                            <a:gd name="T20" fmla="+- 0 5021 5004"/>
                            <a:gd name="T21" fmla="*/ T20 w 20"/>
                            <a:gd name="T22" fmla="+- 0 -29 -46"/>
                            <a:gd name="T23" fmla="*/ -29 h 20"/>
                            <a:gd name="T24" fmla="+- 0 5014 5004"/>
                            <a:gd name="T25" fmla="*/ T24 w 20"/>
                            <a:gd name="T26" fmla="+- 0 -26 -46"/>
                            <a:gd name="T27" fmla="*/ -26 h 20"/>
                            <a:gd name="T28" fmla="+- 0 5007 5004"/>
                            <a:gd name="T29" fmla="*/ T28 w 20"/>
                            <a:gd name="T30" fmla="+- 0 -29 -46"/>
                            <a:gd name="T31" fmla="*/ -29 h 20"/>
                            <a:gd name="T32" fmla="+- 0 5004 5004"/>
                            <a:gd name="T33" fmla="*/ T32 w 20"/>
                            <a:gd name="T34" fmla="+- 0 -36 -46"/>
                            <a:gd name="T35" fmla="*/ -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A7DDA" id="Freeform 563" o:spid="_x0000_s1026" alt="&quot;&quot;" style="position:absolute;margin-left:250.2pt;margin-top:-2.3pt;width:1pt;height:1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" path="m,10l3,3,10,r7,3l20,10r-3,7l10,20,3,17,,10xe" fillcolor="#22b893" stroked="f">
                <v:path arrowok="t" o:connecttype="custom" o:connectlocs="0,-22860;1905,-27305;6350,-29210;10795,-27305;12700,-22860;10795,-18415;6350,-16510;1905,-18415;0,-22860" o:connectangles="0,0,0,0,0,0,0,0,0"/>
                <w10:wrap anchorx="page"/>
              </v:shape>
            </w:pict>
          </mc:Fallback>
        </mc:AlternateContent>
      </w:r>
      <w:r w:rsidRPr="00C000B2">
        <w:rPr>
          <w:noProof/>
          <w:lang w:eastAsia="en-NZ"/>
        </w:rPr>
        <mc:AlternateContent>
          <mc:Choice Requires="wps">
            <w:drawing>
              <wp:anchor distT="0" distB="0" distL="114300" distR="114300" simplePos="0" relativeHeight="252097536" behindDoc="1" locked="0" layoutInCell="1" allowOverlap="1" wp14:anchorId="5B25AC5A" wp14:editId="50A20B73">
                <wp:simplePos x="0" y="0"/>
                <wp:positionH relativeFrom="page">
                  <wp:posOffset>3177540</wp:posOffset>
                </wp:positionH>
                <wp:positionV relativeFrom="page">
                  <wp:posOffset>1314450</wp:posOffset>
                </wp:positionV>
                <wp:extent cx="12700" cy="12700"/>
                <wp:effectExtent l="5715" t="0" r="635" b="6350"/>
                <wp:wrapNone/>
                <wp:docPr id="562" name="Freeform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004 5004"/>
                            <a:gd name="T1" fmla="*/ T0 w 20"/>
                            <a:gd name="T2" fmla="+- 0 2080 2070"/>
                            <a:gd name="T3" fmla="*/ 2080 h 20"/>
                            <a:gd name="T4" fmla="+- 0 5007 5004"/>
                            <a:gd name="T5" fmla="*/ T4 w 20"/>
                            <a:gd name="T6" fmla="+- 0 2073 2070"/>
                            <a:gd name="T7" fmla="*/ 2073 h 20"/>
                            <a:gd name="T8" fmla="+- 0 5014 5004"/>
                            <a:gd name="T9" fmla="*/ T8 w 20"/>
                            <a:gd name="T10" fmla="+- 0 2070 2070"/>
                            <a:gd name="T11" fmla="*/ 2070 h 20"/>
                            <a:gd name="T12" fmla="+- 0 5021 5004"/>
                            <a:gd name="T13" fmla="*/ T12 w 20"/>
                            <a:gd name="T14" fmla="+- 0 2073 2070"/>
                            <a:gd name="T15" fmla="*/ 2073 h 20"/>
                            <a:gd name="T16" fmla="+- 0 5024 5004"/>
                            <a:gd name="T17" fmla="*/ T16 w 20"/>
                            <a:gd name="T18" fmla="+- 0 2080 2070"/>
                            <a:gd name="T19" fmla="*/ 2080 h 20"/>
                            <a:gd name="T20" fmla="+- 0 5021 5004"/>
                            <a:gd name="T21" fmla="*/ T20 w 20"/>
                            <a:gd name="T22" fmla="+- 0 2087 2070"/>
                            <a:gd name="T23" fmla="*/ 2087 h 20"/>
                            <a:gd name="T24" fmla="+- 0 5014 5004"/>
                            <a:gd name="T25" fmla="*/ T24 w 20"/>
                            <a:gd name="T26" fmla="+- 0 2090 2070"/>
                            <a:gd name="T27" fmla="*/ 2090 h 20"/>
                            <a:gd name="T28" fmla="+- 0 5007 5004"/>
                            <a:gd name="T29" fmla="*/ T28 w 20"/>
                            <a:gd name="T30" fmla="+- 0 2087 2070"/>
                            <a:gd name="T31" fmla="*/ 2087 h 20"/>
                            <a:gd name="T32" fmla="+- 0 5004 5004"/>
                            <a:gd name="T33" fmla="*/ T32 w 20"/>
                            <a:gd name="T34" fmla="+- 0 2080 2070"/>
                            <a:gd name="T35" fmla="*/ 20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EDAFB" id="Freeform 562" o:spid="_x0000_s1026" alt="&quot;&quot;" style="position:absolute;margin-left:250.2pt;margin-top:103.5pt;width:1pt;height:1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" path="m,10l3,3,10,r7,3l20,10r-3,7l10,20,3,17,,10xe" fillcolor="#22b893" stroked="f">
                <v:path arrowok="t" o:connecttype="custom" o:connectlocs="0,1320800;1905,1316355;6350,1314450;10795,1316355;12700,1320800;10795,1325245;6350,1327150;1905,1325245;0,1320800" o:connectangles="0,0,0,0,0,0,0,0,0"/>
                <w10:wrap anchorx="page" anchory="page"/>
              </v:shape>
            </w:pict>
          </mc:Fallback>
        </mc:AlternateContent>
      </w:r>
      <w:r w:rsidRPr="00C000B2">
        <w:t>In addition to the options outlined above, there is room to strengthen existing or previous initiatives. For example, little investment in SunSmart national campaigns has occurred in the last decade.</w:t>
      </w:r>
      <w:r w:rsidRPr="000546DD">
        <w:rPr>
          <w:vertAlign w:val="superscript"/>
        </w:rPr>
        <w:t>384</w:t>
      </w:r>
      <w:r w:rsidRPr="00C000B2">
        <w:t xml:space="preserve"> Sunbed use for those aged under 18 years has been banned since 2017, but beyond this only voluntary guidelines are available for sunbed operators in most of Aotearoa and compliance with them is demonstrably poor.</w:t>
      </w:r>
      <w:r w:rsidRPr="000546DD">
        <w:rPr>
          <w:vertAlign w:val="superscript"/>
        </w:rPr>
        <w:t>385</w:t>
      </w:r>
      <w:r w:rsidRPr="00C000B2">
        <w:t xml:space="preserve"> Additionally, while we have good data on melanoma, it is challenging to get equivalent data on </w:t>
      </w:r>
      <w:proofErr w:type="spellStart"/>
      <w:r w:rsidRPr="00C000B2">
        <w:t>keratinocytic</w:t>
      </w:r>
      <w:proofErr w:type="spellEnd"/>
      <w:r w:rsidRPr="00C000B2">
        <w:t xml:space="preserve"> skin cancers, which are numerous and mostly managed in primary care. This information gap limits our ability to target resources and evaluate the impact of prevention initiatives.</w:t>
      </w:r>
    </w:p>
    <w:p w14:paraId="5EDC7839" w14:textId="77777777" w:rsidR="00EF27EC" w:rsidRPr="00C000B2" w:rsidRDefault="00EF27EC" w:rsidP="000546DD"/>
    <w:p w14:paraId="4AFD126D" w14:textId="77777777" w:rsidR="00EF27EC" w:rsidRPr="00C000B2" w:rsidRDefault="00EF27EC" w:rsidP="000546DD">
      <w:r w:rsidRPr="00C000B2">
        <w:t>In general, efforts to reduce exposure to UV radiation in Aotearoa have largely focused on education and encouraging individuals to adopt appropriate sun protection behaviours. Although some comprehensive approaches have been used in some settings (including educational settings and workplaces), initiatives are fragmented across agencies and poorly funded.</w:t>
      </w:r>
      <w:r w:rsidRPr="000546DD">
        <w:rPr>
          <w:vertAlign w:val="superscript"/>
        </w:rPr>
        <w:t>386</w:t>
      </w:r>
      <w:r w:rsidRPr="00C000B2">
        <w:t xml:space="preserve"> A comprehensive, multisectoral skin cancer prevention programme that is adequately resourced would provide a strategic and coordinated response to skin cancer prevention across the life course. The Australian SunSmart programme is a good example of such an approach, with proven results.</w:t>
      </w:r>
      <w:r w:rsidRPr="000546DD">
        <w:rPr>
          <w:vertAlign w:val="superscript"/>
        </w:rPr>
        <w:t>384</w:t>
      </w:r>
    </w:p>
    <w:p w14:paraId="69B8B2C4" w14:textId="77777777" w:rsidR="00EF27EC" w:rsidRPr="00C000B2" w:rsidRDefault="00EF27EC" w:rsidP="000546DD"/>
    <w:p w14:paraId="6DAEFADE" w14:textId="77777777" w:rsidR="00EF27EC" w:rsidRPr="000546DD" w:rsidRDefault="000546DD" w:rsidP="000546DD">
      <w:pPr>
        <w:pStyle w:val="Heading1"/>
        <w:ind w:right="-851"/>
        <w:rPr>
          <w:color w:val="22B893"/>
        </w:rPr>
      </w:pPr>
      <w:bookmarkStart w:id="192" w:name="Te_ārai_i_ngā_mate_pukupuku_mō_ngā_mate_"/>
      <w:bookmarkStart w:id="193" w:name="What_is_the_connection_between_chronic_i"/>
      <w:bookmarkStart w:id="194" w:name="Figure_31:__Cancers_related_to_H.pylori,"/>
      <w:bookmarkStart w:id="195" w:name="_bookmark34"/>
      <w:bookmarkStart w:id="196" w:name="_Toc95742668"/>
      <w:bookmarkEnd w:id="192"/>
      <w:bookmarkEnd w:id="193"/>
      <w:bookmarkEnd w:id="194"/>
      <w:bookmarkEnd w:id="195"/>
      <w:r w:rsidRPr="00C000B2">
        <w:lastRenderedPageBreak/>
        <w:t>Te Ārai I Ngā Mate Pukupuku Mō Ngā Mate Mau Tonu</w:t>
      </w:r>
      <w:r>
        <w:br/>
      </w:r>
      <w:r w:rsidRPr="000546DD">
        <w:rPr>
          <w:color w:val="22B893"/>
        </w:rPr>
        <w:t>Preventing cancers related to chronic infections</w:t>
      </w:r>
      <w:bookmarkEnd w:id="196"/>
    </w:p>
    <w:p w14:paraId="6CDB058A" w14:textId="77777777" w:rsidR="00EF27EC" w:rsidRPr="00C000B2" w:rsidRDefault="00EF27EC" w:rsidP="000546DD">
      <w:pPr>
        <w:pStyle w:val="Heading2"/>
      </w:pPr>
      <w:bookmarkStart w:id="197" w:name="_Toc95742669"/>
      <w:r w:rsidRPr="00C000B2">
        <w:t>What is the connection between chronic infections and cancer?</w:t>
      </w:r>
      <w:bookmarkEnd w:id="197"/>
    </w:p>
    <w:p w14:paraId="297078BE" w14:textId="77777777" w:rsidR="00EF27EC" w:rsidRPr="00C000B2" w:rsidRDefault="00EF27EC" w:rsidP="002758DA">
      <w:r w:rsidRPr="00C000B2">
        <w:t>Globally, it is estimated that infections cause at least 12 percent of all cancers.</w:t>
      </w:r>
      <w:r w:rsidRPr="002758DA">
        <w:rPr>
          <w:vertAlign w:val="superscript"/>
        </w:rPr>
        <w:t>385</w:t>
      </w:r>
      <w:r w:rsidRPr="00C000B2">
        <w:t xml:space="preserve"> Four types of infections in particular – </w:t>
      </w:r>
      <w:r w:rsidRPr="00C000B2">
        <w:rPr>
          <w:i/>
        </w:rPr>
        <w:t xml:space="preserve">Helicobacter pylori </w:t>
      </w:r>
      <w:r w:rsidRPr="00C000B2">
        <w:t>(</w:t>
      </w:r>
      <w:r w:rsidRPr="00C000B2">
        <w:rPr>
          <w:i/>
        </w:rPr>
        <w:t>H. pylori</w:t>
      </w:r>
      <w:r w:rsidRPr="00C000B2">
        <w:t xml:space="preserve">), human papillomavirus (HPV), and </w:t>
      </w:r>
      <w:r w:rsidR="009278A9">
        <w:t>hepatitis B</w:t>
      </w:r>
      <w:r w:rsidRPr="00C000B2">
        <w:t xml:space="preserve"> and </w:t>
      </w:r>
      <w:r w:rsidR="009278A9">
        <w:t>hepatitis C</w:t>
      </w:r>
      <w:r w:rsidRPr="00C000B2">
        <w:t xml:space="preserve"> viruses – account for 90 percent of all infection-related cancers.</w:t>
      </w:r>
      <w:r w:rsidRPr="002758DA">
        <w:rPr>
          <w:vertAlign w:val="superscript"/>
        </w:rPr>
        <w:t>386</w:t>
      </w:r>
    </w:p>
    <w:p w14:paraId="5AD4E35E" w14:textId="77777777" w:rsidR="00EF27EC" w:rsidRPr="00C000B2" w:rsidRDefault="00EF27EC" w:rsidP="002758DA"/>
    <w:p w14:paraId="34237EE4" w14:textId="77777777" w:rsidR="00EF27EC" w:rsidRPr="00C000B2" w:rsidRDefault="00EF27EC" w:rsidP="002758DA">
      <w:r w:rsidRPr="00C000B2">
        <w:t>Most people who get these infections do not develop cancer. However, cancer can develop if the infection remains in the body for a long period of time (known as a chronic infection) and is not cleared by the immune system or if other risk factors, such as alcohol and smoking, are present.</w:t>
      </w:r>
    </w:p>
    <w:p w14:paraId="50C7C054" w14:textId="77777777" w:rsidR="00EF27EC" w:rsidRPr="00C000B2" w:rsidRDefault="00EF27EC" w:rsidP="002758DA"/>
    <w:p w14:paraId="1A2A25A4" w14:textId="77777777" w:rsidR="00EF27EC" w:rsidRPr="00C000B2" w:rsidRDefault="00EF27EC" w:rsidP="002758DA">
      <w:r w:rsidRPr="00C000B2">
        <w:t xml:space="preserve">Infection with human immunodeficiency virus (HIV) also increases the risk of several cancers (including Kaposi sarcoma, certain lymphomas, cervical cancer, lung cancer, liver cancer and non-melanoma skin cancer). Cancers associated with HIV are also linked to co-infection with HPV, </w:t>
      </w:r>
      <w:r w:rsidR="009278A9">
        <w:t>hepatitis B</w:t>
      </w:r>
      <w:r w:rsidRPr="00C000B2">
        <w:t xml:space="preserve"> and </w:t>
      </w:r>
      <w:r w:rsidR="009278A9">
        <w:t>hepatitis C</w:t>
      </w:r>
      <w:r w:rsidRPr="00C000B2">
        <w:t>.</w:t>
      </w:r>
      <w:r w:rsidRPr="002758DA">
        <w:rPr>
          <w:vertAlign w:val="superscript"/>
        </w:rPr>
        <w:t>387</w:t>
      </w:r>
    </w:p>
    <w:p w14:paraId="5DF2D739" w14:textId="77777777" w:rsidR="002758DA" w:rsidRDefault="002758DA" w:rsidP="002758DA"/>
    <w:p w14:paraId="48378CF5" w14:textId="77777777" w:rsidR="00EF27EC" w:rsidRPr="00C000B2" w:rsidRDefault="002758DA" w:rsidP="002758DA">
      <w:pPr>
        <w:pStyle w:val="Figure"/>
        <w:rPr>
          <w:rFonts w:ascii="Verdana"/>
        </w:rPr>
      </w:pPr>
      <w:bookmarkStart w:id="198" w:name="_Toc95059152"/>
      <w:r>
        <w:t>Figure </w:t>
      </w:r>
      <w:r w:rsidR="00F50B6E">
        <w:fldChar w:fldCharType="begin"/>
      </w:r>
      <w:r w:rsidR="00F50B6E">
        <w:instrText xml:space="preserve"> SEQ Figure \* ARABIC </w:instrText>
      </w:r>
      <w:r w:rsidR="00F50B6E">
        <w:fldChar w:fldCharType="separate"/>
      </w:r>
      <w:r w:rsidR="006E6019">
        <w:rPr>
          <w:noProof/>
        </w:rPr>
        <w:t>31</w:t>
      </w:r>
      <w:r w:rsidR="00F50B6E">
        <w:rPr>
          <w:noProof/>
        </w:rPr>
        <w:fldChar w:fldCharType="end"/>
      </w:r>
      <w:r>
        <w:t>:</w:t>
      </w:r>
      <w:r w:rsidR="00EF27EC" w:rsidRPr="00C000B2">
        <w:t xml:space="preserve"> Cancers related to </w:t>
      </w:r>
      <w:proofErr w:type="spellStart"/>
      <w:proofErr w:type="gramStart"/>
      <w:r w:rsidR="00EF27EC" w:rsidRPr="0060405B">
        <w:rPr>
          <w:i/>
          <w:iCs/>
        </w:rPr>
        <w:t>H.pylori</w:t>
      </w:r>
      <w:proofErr w:type="spellEnd"/>
      <w:proofErr w:type="gramEnd"/>
      <w:r w:rsidR="00EF27EC" w:rsidRPr="00C000B2">
        <w:t xml:space="preserve">, HPV, </w:t>
      </w:r>
      <w:r w:rsidR="009278A9">
        <w:t>Hepatitis B</w:t>
      </w:r>
      <w:r w:rsidR="00EF27EC" w:rsidRPr="00C000B2">
        <w:t xml:space="preserve"> and </w:t>
      </w:r>
      <w:r w:rsidR="009278A9">
        <w:t>Hepatitis C</w:t>
      </w:r>
      <w:r w:rsidR="00EF27EC" w:rsidRPr="00D336FB">
        <w:rPr>
          <w:b w:val="0"/>
          <w:vertAlign w:val="superscript"/>
        </w:rPr>
        <w:t>386</w:t>
      </w:r>
      <w:bookmarkEnd w:id="198"/>
    </w:p>
    <w:p w14:paraId="16277862" w14:textId="77777777" w:rsidR="00EF27EC" w:rsidRPr="00C000B2" w:rsidRDefault="002758DA" w:rsidP="002758DA">
      <w:r>
        <w:rPr>
          <w:noProof/>
          <w:lang w:eastAsia="en-NZ"/>
        </w:rPr>
        <w:drawing>
          <wp:inline distT="0" distB="0" distL="0" distR="0" wp14:anchorId="14763BDF" wp14:editId="16E391FC">
            <wp:extent cx="3975652" cy="2004963"/>
            <wp:effectExtent l="0" t="0" r="6350" b="0"/>
            <wp:docPr id="1703" name="Picture 1703" title="Figure 31: Cancers related to H.pylori, HPV, Hepatitis B and Hepatiti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980090" cy="2007201"/>
                    </a:xfrm>
                    <a:prstGeom prst="rect">
                      <a:avLst/>
                    </a:prstGeom>
                  </pic:spPr>
                </pic:pic>
              </a:graphicData>
            </a:graphic>
          </wp:inline>
        </w:drawing>
      </w:r>
    </w:p>
    <w:p w14:paraId="0342183A" w14:textId="77777777" w:rsidR="002758DA" w:rsidRPr="00C000B2" w:rsidRDefault="002758DA" w:rsidP="00EF27EC">
      <w:pPr>
        <w:spacing w:before="10"/>
        <w:rPr>
          <w:rFonts w:ascii="Verdana"/>
        </w:rPr>
      </w:pPr>
    </w:p>
    <w:p w14:paraId="19A82DA2" w14:textId="77777777" w:rsidR="00EF27EC" w:rsidRPr="00C000B2" w:rsidRDefault="00EF27EC" w:rsidP="002758DA">
      <w:pPr>
        <w:pStyle w:val="Heading3"/>
      </w:pPr>
      <w:r w:rsidRPr="002758DA">
        <w:rPr>
          <w:i/>
        </w:rPr>
        <w:lastRenderedPageBreak/>
        <w:t>Helicobacter pylori</w:t>
      </w:r>
      <w:r w:rsidRPr="00C000B2">
        <w:t xml:space="preserve"> (</w:t>
      </w:r>
      <w:r w:rsidRPr="002758DA">
        <w:rPr>
          <w:i/>
        </w:rPr>
        <w:t>H. pylori</w:t>
      </w:r>
      <w:r w:rsidRPr="00C000B2">
        <w:t>) infection</w:t>
      </w:r>
    </w:p>
    <w:p w14:paraId="63EB5B0C" w14:textId="77777777" w:rsidR="00EF27EC" w:rsidRPr="00C000B2" w:rsidRDefault="00EF27EC" w:rsidP="002758DA">
      <w:r w:rsidRPr="00C000B2">
        <w:rPr>
          <w:i/>
        </w:rPr>
        <w:t>Helicobacter pylori</w:t>
      </w:r>
      <w:r w:rsidRPr="002758DA">
        <w:t xml:space="preserve"> (</w:t>
      </w:r>
      <w:r w:rsidRPr="00C000B2">
        <w:rPr>
          <w:i/>
        </w:rPr>
        <w:t>H. pylori</w:t>
      </w:r>
      <w:r w:rsidRPr="002758DA">
        <w:t>) i</w:t>
      </w:r>
      <w:r w:rsidRPr="00C000B2">
        <w:t>s a bacterium that infects the stomach lining. It causes over</w:t>
      </w:r>
      <w:r w:rsidR="002758DA">
        <w:t xml:space="preserve"> </w:t>
      </w:r>
      <w:r w:rsidRPr="00C000B2">
        <w:t>90 percent of cancers of the lower part of the stomach.</w:t>
      </w:r>
      <w:r w:rsidRPr="002758DA">
        <w:rPr>
          <w:vertAlign w:val="superscript"/>
        </w:rPr>
        <w:t>386</w:t>
      </w:r>
      <w:r w:rsidRPr="00C000B2">
        <w:t xml:space="preserve"> Without treatment, chronic infection with </w:t>
      </w:r>
      <w:r w:rsidRPr="00C000B2">
        <w:rPr>
          <w:i/>
        </w:rPr>
        <w:t xml:space="preserve">H. pylori </w:t>
      </w:r>
      <w:r w:rsidRPr="00C000B2">
        <w:t xml:space="preserve">may develop. Most people will not develop cancer with a chronic infection </w:t>
      </w:r>
      <w:proofErr w:type="gramStart"/>
      <w:r w:rsidRPr="00C000B2">
        <w:t>alone</w:t>
      </w:r>
      <w:proofErr w:type="gramEnd"/>
      <w:r w:rsidRPr="00C000B2">
        <w:t xml:space="preserve"> but</w:t>
      </w:r>
      <w:r w:rsidR="002758DA">
        <w:t xml:space="preserve"> </w:t>
      </w:r>
      <w:bookmarkStart w:id="199" w:name="Figure_32:_Incidence_of_stomach_cancer_f"/>
      <w:bookmarkStart w:id="200" w:name="_bookmark35"/>
      <w:bookmarkEnd w:id="199"/>
      <w:bookmarkEnd w:id="200"/>
      <w:r w:rsidRPr="00C000B2">
        <w:t>research suggests that if an infected person also has other risk factors, such as tobacco smoking, they are at greater risk for stomach cancer.</w:t>
      </w:r>
      <w:r w:rsidRPr="002758DA">
        <w:rPr>
          <w:vertAlign w:val="superscript"/>
        </w:rPr>
        <w:t>388</w:t>
      </w:r>
      <w:r w:rsidRPr="00C000B2">
        <w:t xml:space="preserve"> An estimated 1–2 percent of people infected with</w:t>
      </w:r>
      <w:r w:rsidR="002758DA">
        <w:t xml:space="preserve"> </w:t>
      </w:r>
      <w:r w:rsidRPr="00C000B2">
        <w:rPr>
          <w:i/>
        </w:rPr>
        <w:t xml:space="preserve">H. pylori </w:t>
      </w:r>
      <w:r w:rsidRPr="00C000B2">
        <w:t>will develop stomach cancer in their lifetime.</w:t>
      </w:r>
      <w:r w:rsidRPr="002758DA">
        <w:rPr>
          <w:vertAlign w:val="superscript"/>
        </w:rPr>
        <w:t>389</w:t>
      </w:r>
    </w:p>
    <w:p w14:paraId="5710B8DE" w14:textId="77777777" w:rsidR="00EF27EC" w:rsidRPr="00C000B2" w:rsidRDefault="00EF27EC" w:rsidP="002758DA"/>
    <w:p w14:paraId="379110DD" w14:textId="77777777" w:rsidR="00EF27EC" w:rsidRPr="00C000B2" w:rsidRDefault="00EF27EC" w:rsidP="002758DA">
      <w:r w:rsidRPr="00C000B2">
        <w:t>In Aotearoa, the burden of stomach cancer has halved in the last 20 years (</w:t>
      </w:r>
      <w:r w:rsidR="002758DA">
        <w:fldChar w:fldCharType="begin"/>
      </w:r>
      <w:r w:rsidR="002758DA">
        <w:instrText xml:space="preserve"> REF _Ref94873701 \h </w:instrText>
      </w:r>
      <w:r w:rsidR="002758DA">
        <w:fldChar w:fldCharType="separate"/>
      </w:r>
      <w:r w:rsidR="006E6019">
        <w:t>Figure </w:t>
      </w:r>
      <w:r w:rsidR="006E6019">
        <w:rPr>
          <w:noProof/>
        </w:rPr>
        <w:t>32</w:t>
      </w:r>
      <w:r w:rsidR="002758DA">
        <w:fldChar w:fldCharType="end"/>
      </w:r>
      <w:r w:rsidRPr="00C000B2">
        <w:t>). In 2018, 408 New Zealanders were diagnosed with stomach cancer, including 82 Māori.</w:t>
      </w:r>
      <w:r w:rsidRPr="002758DA">
        <w:rPr>
          <w:vertAlign w:val="superscript"/>
        </w:rPr>
        <w:t>2</w:t>
      </w:r>
      <w:r w:rsidRPr="00C000B2">
        <w:t xml:space="preserve"> Stomach cancer is associated with poor survival, with only around 29 percent of people surviving for five years after their diagnosis.</w:t>
      </w:r>
      <w:r w:rsidRPr="002758DA">
        <w:rPr>
          <w:vertAlign w:val="superscript"/>
        </w:rPr>
        <w:t>38</w:t>
      </w:r>
      <w:r w:rsidRPr="00C000B2">
        <w:t xml:space="preserve"> In 2017, 288 New Zealanders died from stomach cancer, including 47 Māori.</w:t>
      </w:r>
    </w:p>
    <w:p w14:paraId="5340BD8F" w14:textId="77777777" w:rsidR="00EF27EC" w:rsidRDefault="00EF27EC" w:rsidP="002758DA">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2758DA" w14:paraId="3421F7A3" w14:textId="77777777" w:rsidTr="002758DA">
        <w:trPr>
          <w:cantSplit/>
        </w:trPr>
        <w:tc>
          <w:tcPr>
            <w:tcW w:w="426" w:type="dxa"/>
            <w:tcBorders>
              <w:right w:val="single" w:sz="48" w:space="0" w:color="FFFFFF" w:themeColor="background1"/>
            </w:tcBorders>
            <w:shd w:val="clear" w:color="auto" w:fill="F37973"/>
          </w:tcPr>
          <w:p w14:paraId="75B4F787" w14:textId="77777777" w:rsidR="002758DA" w:rsidRDefault="002758DA" w:rsidP="002758DA"/>
        </w:tc>
        <w:tc>
          <w:tcPr>
            <w:tcW w:w="7371" w:type="dxa"/>
          </w:tcPr>
          <w:p w14:paraId="3A88FB6A" w14:textId="77777777" w:rsidR="002758DA" w:rsidRDefault="002758DA" w:rsidP="002758DA">
            <w:pPr>
              <w:pStyle w:val="TableText"/>
            </w:pPr>
            <w:r w:rsidRPr="00C000B2">
              <w:t xml:space="preserve">Māori, Pacific </w:t>
            </w:r>
            <w:proofErr w:type="gramStart"/>
            <w:r w:rsidRPr="00C000B2">
              <w:t>peoples</w:t>
            </w:r>
            <w:proofErr w:type="gramEnd"/>
            <w:r w:rsidRPr="00C000B2">
              <w:t xml:space="preserve"> and those living in the most socioeconomically deprived areas continue to have much higher rates of stomach cancer.</w:t>
            </w:r>
            <w:r w:rsidRPr="002758DA">
              <w:rPr>
                <w:vertAlign w:val="superscript"/>
              </w:rPr>
              <w:t>4,</w:t>
            </w:r>
            <w:r>
              <w:rPr>
                <w:vertAlign w:val="superscript"/>
              </w:rPr>
              <w:t> </w:t>
            </w:r>
            <w:r w:rsidRPr="002758DA">
              <w:rPr>
                <w:vertAlign w:val="superscript"/>
              </w:rPr>
              <w:t>388,</w:t>
            </w:r>
            <w:r>
              <w:rPr>
                <w:vertAlign w:val="superscript"/>
              </w:rPr>
              <w:t> </w:t>
            </w:r>
            <w:r w:rsidRPr="002758DA">
              <w:rPr>
                <w:vertAlign w:val="superscript"/>
              </w:rPr>
              <w:t>390,</w:t>
            </w:r>
            <w:r>
              <w:rPr>
                <w:vertAlign w:val="superscript"/>
              </w:rPr>
              <w:t> </w:t>
            </w:r>
            <w:r w:rsidRPr="002758DA">
              <w:rPr>
                <w:vertAlign w:val="superscript"/>
              </w:rPr>
              <w:t>391</w:t>
            </w:r>
            <w:r w:rsidRPr="00C000B2">
              <w:t xml:space="preserve"> Māori diagnosed with stomach cancer are 22 percent more likely to die than non-Māori with stomach cancer.</w:t>
            </w:r>
            <w:r w:rsidRPr="002758DA">
              <w:rPr>
                <w:vertAlign w:val="superscript"/>
              </w:rPr>
              <w:t>3</w:t>
            </w:r>
          </w:p>
        </w:tc>
      </w:tr>
    </w:tbl>
    <w:p w14:paraId="1625F1CC" w14:textId="77777777" w:rsidR="002758DA" w:rsidRPr="00C000B2" w:rsidRDefault="002758DA" w:rsidP="002758DA">
      <w:pPr>
        <w:spacing w:after="240"/>
      </w:pPr>
    </w:p>
    <w:p w14:paraId="48B9E0D2" w14:textId="6964E2C5" w:rsidR="00EF27EC" w:rsidRPr="00C000B2" w:rsidRDefault="002758DA" w:rsidP="002758DA">
      <w:pPr>
        <w:pStyle w:val="Figure"/>
      </w:pPr>
      <w:bookmarkStart w:id="201" w:name="_Ref94873701"/>
      <w:bookmarkStart w:id="202" w:name="_Toc95059153"/>
      <w:r>
        <w:t>Figure </w:t>
      </w:r>
      <w:r w:rsidR="00F50B6E">
        <w:fldChar w:fldCharType="begin"/>
      </w:r>
      <w:r w:rsidR="00F50B6E">
        <w:instrText xml:space="preserve"> SEQ Figure \* ARABIC </w:instrText>
      </w:r>
      <w:r w:rsidR="00F50B6E">
        <w:fldChar w:fldCharType="separate"/>
      </w:r>
      <w:r w:rsidR="006E6019">
        <w:rPr>
          <w:noProof/>
        </w:rPr>
        <w:t>32</w:t>
      </w:r>
      <w:r w:rsidR="00F50B6E">
        <w:rPr>
          <w:noProof/>
        </w:rPr>
        <w:fldChar w:fldCharType="end"/>
      </w:r>
      <w:bookmarkEnd w:id="201"/>
      <w:r w:rsidR="00EF27EC" w:rsidRPr="00C000B2">
        <w:t>: Incidence of stomach cancer for Māori and non-Māori females and males in Aotearoa, 1996–2017</w:t>
      </w:r>
      <w:bookmarkEnd w:id="202"/>
      <w:r w:rsidR="0060405B">
        <w:t>*</w:t>
      </w:r>
    </w:p>
    <w:p w14:paraId="1DF2BD98" w14:textId="77777777" w:rsidR="00EF27EC" w:rsidRPr="00C000B2" w:rsidRDefault="002758DA" w:rsidP="002758DA">
      <w:r>
        <w:rPr>
          <w:noProof/>
          <w:lang w:eastAsia="en-NZ"/>
        </w:rPr>
        <w:drawing>
          <wp:inline distT="0" distB="0" distL="0" distR="0" wp14:anchorId="33643E53" wp14:editId="27B7BE76">
            <wp:extent cx="5130165" cy="3880509"/>
            <wp:effectExtent l="0" t="0" r="0" b="5715"/>
            <wp:docPr id="1704" name="Picture 1704" title="Figure 32: Incidence of stomach cancer for Māori and non-Māori females and males in Aotearoa, 199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30165" cy="3880509"/>
                    </a:xfrm>
                    <a:prstGeom prst="rect">
                      <a:avLst/>
                    </a:prstGeom>
                  </pic:spPr>
                </pic:pic>
              </a:graphicData>
            </a:graphic>
          </wp:inline>
        </w:drawing>
      </w:r>
    </w:p>
    <w:p w14:paraId="046039E1" w14:textId="5E5CA05E" w:rsidR="00EF27EC" w:rsidRDefault="00EF27EC" w:rsidP="002758DA"/>
    <w:p w14:paraId="22811935" w14:textId="7661BC7B" w:rsidR="0060405B" w:rsidRDefault="0060405B" w:rsidP="002758DA"/>
    <w:p w14:paraId="1E88A1A3" w14:textId="7AADB3DE" w:rsidR="0060405B" w:rsidRDefault="0060405B" w:rsidP="002758DA"/>
    <w:p w14:paraId="74DA3AB0" w14:textId="730A79A1" w:rsidR="0060405B" w:rsidRDefault="0060405B" w:rsidP="002758DA"/>
    <w:p w14:paraId="3A52346B" w14:textId="197B8754" w:rsidR="0060405B" w:rsidRPr="00C000B2" w:rsidRDefault="0060405B" w:rsidP="0060405B">
      <w:r w:rsidRPr="0060405B">
        <w:rPr>
          <w:rStyle w:val="FootnoteReference"/>
          <w:sz w:val="17"/>
          <w:szCs w:val="17"/>
          <w:vertAlign w:val="baseline"/>
        </w:rPr>
        <w:t>*</w:t>
      </w:r>
      <w:r w:rsidRPr="0060405B">
        <w:rPr>
          <w:rStyle w:val="FootnoteReference"/>
          <w:sz w:val="17"/>
          <w:szCs w:val="17"/>
          <w:vertAlign w:val="baseline"/>
        </w:rPr>
        <w:tab/>
      </w:r>
      <w:r w:rsidRPr="0060405B">
        <w:rPr>
          <w:sz w:val="17"/>
          <w:szCs w:val="17"/>
        </w:rPr>
        <w:t>Age- and sex-standardised to 2001 Māori census population</w:t>
      </w:r>
      <w:r>
        <w:rPr>
          <w:sz w:val="17"/>
          <w:szCs w:val="17"/>
        </w:rPr>
        <w:t>.</w:t>
      </w:r>
    </w:p>
    <w:p w14:paraId="7A990F0D" w14:textId="77777777" w:rsidR="00EF27EC" w:rsidRDefault="00EF27EC" w:rsidP="002758DA">
      <w:pPr>
        <w:pStyle w:val="Heading3"/>
      </w:pPr>
      <w:bookmarkStart w:id="203" w:name="_Figure_33:_Cancers_caused_by_HPV"/>
      <w:bookmarkStart w:id="204" w:name="Figure_34:_Incidence_of_cervical_cancer_"/>
      <w:bookmarkStart w:id="205" w:name="_bookmark36"/>
      <w:bookmarkEnd w:id="203"/>
      <w:bookmarkEnd w:id="204"/>
      <w:bookmarkEnd w:id="205"/>
      <w:r w:rsidRPr="00C000B2">
        <w:lastRenderedPageBreak/>
        <w:t>Human papillomavirus (HPV) infection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7"/>
        <w:gridCol w:w="4148"/>
      </w:tblGrid>
      <w:tr w:rsidR="002758DA" w14:paraId="0C97D19E" w14:textId="77777777" w:rsidTr="002758DA">
        <w:trPr>
          <w:cantSplit/>
        </w:trPr>
        <w:tc>
          <w:tcPr>
            <w:tcW w:w="4147" w:type="dxa"/>
          </w:tcPr>
          <w:p w14:paraId="5CE36D44" w14:textId="77777777" w:rsidR="002758DA" w:rsidRDefault="002758DA" w:rsidP="002758DA">
            <w:pPr>
              <w:ind w:right="113"/>
            </w:pPr>
            <w:r w:rsidRPr="00C000B2">
              <w:t>Human papillomaviruses (HPV) are a group of very common viruses that infect the reproductive tract of about four out of five people at some time in their lives. HPV is the main cause of cervical cancer,</w:t>
            </w:r>
            <w:r w:rsidRPr="002758DA">
              <w:rPr>
                <w:vertAlign w:val="superscript"/>
              </w:rPr>
              <w:t>392</w:t>
            </w:r>
            <w:r w:rsidRPr="00C000B2">
              <w:t xml:space="preserve"> which is the third most common cancer in women in Aotearoa. HPV can also cause anal, vaginal, vulval, penile and oropharyngeal cancers (</w:t>
            </w:r>
            <w:r>
              <w:fldChar w:fldCharType="begin"/>
            </w:r>
            <w:r>
              <w:instrText xml:space="preserve"> REF _Ref94873984 \h </w:instrText>
            </w:r>
            <w:r>
              <w:fldChar w:fldCharType="separate"/>
            </w:r>
            <w:r w:rsidR="006E6019">
              <w:t>Figure </w:t>
            </w:r>
            <w:r w:rsidR="006E6019">
              <w:rPr>
                <w:noProof/>
              </w:rPr>
              <w:t>33</w:t>
            </w:r>
            <w:r>
              <w:fldChar w:fldCharType="end"/>
            </w:r>
            <w:r w:rsidRPr="00C000B2">
              <w:t>).</w:t>
            </w:r>
            <w:r w:rsidRPr="002758DA">
              <w:rPr>
                <w:vertAlign w:val="superscript"/>
              </w:rPr>
              <w:t>393</w:t>
            </w:r>
            <w:r w:rsidRPr="00C000B2">
              <w:t xml:space="preserve"> It is important to note that most people with HPV do not develop cancer, however.</w:t>
            </w:r>
          </w:p>
          <w:p w14:paraId="1BE3BA2C" w14:textId="77777777" w:rsidR="002758DA" w:rsidRDefault="002758DA" w:rsidP="002758DA">
            <w:pPr>
              <w:ind w:right="113"/>
            </w:pPr>
          </w:p>
          <w:p w14:paraId="0A69F61D" w14:textId="77777777" w:rsidR="002758DA" w:rsidRDefault="002758DA" w:rsidP="002758DA">
            <w:pPr>
              <w:ind w:right="113"/>
            </w:pPr>
            <w:r w:rsidRPr="00C000B2">
              <w:t>In 2018, 189 New Zealanders were diagnosed with cervical cancer, including 43</w:t>
            </w:r>
            <w:r>
              <w:t> </w:t>
            </w:r>
            <w:r w:rsidRPr="00C000B2">
              <w:t>Māori women. The</w:t>
            </w:r>
            <w:r>
              <w:t xml:space="preserve"> </w:t>
            </w:r>
            <w:r w:rsidRPr="00C000B2">
              <w:t>45</w:t>
            </w:r>
            <w:r>
              <w:t> </w:t>
            </w:r>
            <w:r w:rsidRPr="00C000B2">
              <w:t>deaths due to cervical cancer included 11</w:t>
            </w:r>
            <w:r>
              <w:t> </w:t>
            </w:r>
            <w:r w:rsidRPr="00C000B2">
              <w:t>Māori women.</w:t>
            </w:r>
            <w:r w:rsidRPr="002758DA">
              <w:rPr>
                <w:vertAlign w:val="superscript"/>
              </w:rPr>
              <w:t>2</w:t>
            </w:r>
          </w:p>
        </w:tc>
        <w:tc>
          <w:tcPr>
            <w:tcW w:w="4148" w:type="dxa"/>
          </w:tcPr>
          <w:p w14:paraId="1E137EFE" w14:textId="77777777" w:rsidR="002758DA" w:rsidRDefault="002758DA" w:rsidP="002758DA">
            <w:pPr>
              <w:pStyle w:val="Figure"/>
              <w:spacing w:before="0"/>
            </w:pPr>
            <w:bookmarkStart w:id="206" w:name="_Ref94873984"/>
            <w:bookmarkStart w:id="207" w:name="_Toc95059154"/>
            <w:r>
              <w:t>Figure </w:t>
            </w:r>
            <w:r w:rsidR="00F50B6E">
              <w:fldChar w:fldCharType="begin"/>
            </w:r>
            <w:r w:rsidR="00F50B6E">
              <w:instrText xml:space="preserve"> SEQ Figure \* ARABIC </w:instrText>
            </w:r>
            <w:r w:rsidR="00F50B6E">
              <w:fldChar w:fldCharType="separate"/>
            </w:r>
            <w:r w:rsidR="006E6019">
              <w:rPr>
                <w:noProof/>
              </w:rPr>
              <w:t>33</w:t>
            </w:r>
            <w:r w:rsidR="00F50B6E">
              <w:rPr>
                <w:noProof/>
              </w:rPr>
              <w:fldChar w:fldCharType="end"/>
            </w:r>
            <w:bookmarkEnd w:id="206"/>
            <w:r w:rsidRPr="00C000B2">
              <w:t>: Cancers caused by HPV</w:t>
            </w:r>
            <w:bookmarkEnd w:id="207"/>
          </w:p>
          <w:p w14:paraId="6CFBA28C" w14:textId="77777777" w:rsidR="002758DA" w:rsidRDefault="002758DA" w:rsidP="002758DA">
            <w:r>
              <w:rPr>
                <w:noProof/>
                <w:lang w:eastAsia="en-NZ"/>
              </w:rPr>
              <w:drawing>
                <wp:inline distT="0" distB="0" distL="0" distR="0" wp14:anchorId="4F127335" wp14:editId="33691CB3">
                  <wp:extent cx="2600077" cy="2300674"/>
                  <wp:effectExtent l="0" t="0" r="0" b="4445"/>
                  <wp:docPr id="1705" name="Picture 1705" descr="HPV virus: 69% of vulval cancer, 72% of mouth/throat caner, 91% of anal cancer; 91% of cervica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Picture 1705" descr="HPV virus: 69% of vulval cancer, 72% of mouth/throat caner, 91% of anal cancer; 91% of cervical cancer"/>
                          <pic:cNvPicPr/>
                        </pic:nvPicPr>
                        <pic:blipFill>
                          <a:blip r:embed="rId67"/>
                          <a:stretch>
                            <a:fillRect/>
                          </a:stretch>
                        </pic:blipFill>
                        <pic:spPr>
                          <a:xfrm>
                            <a:off x="0" y="0"/>
                            <a:ext cx="2602134" cy="2302494"/>
                          </a:xfrm>
                          <a:prstGeom prst="rect">
                            <a:avLst/>
                          </a:prstGeom>
                        </pic:spPr>
                      </pic:pic>
                    </a:graphicData>
                  </a:graphic>
                </wp:inline>
              </w:drawing>
            </w:r>
          </w:p>
        </w:tc>
      </w:tr>
    </w:tbl>
    <w:p w14:paraId="37515E82" w14:textId="77777777" w:rsidR="002758DA" w:rsidRDefault="002758DA" w:rsidP="00043D21">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2758DA" w14:paraId="7B684DFC" w14:textId="77777777" w:rsidTr="002758DA">
        <w:trPr>
          <w:cantSplit/>
        </w:trPr>
        <w:tc>
          <w:tcPr>
            <w:tcW w:w="426" w:type="dxa"/>
            <w:tcBorders>
              <w:right w:val="single" w:sz="48" w:space="0" w:color="FFFFFF" w:themeColor="background1"/>
            </w:tcBorders>
            <w:shd w:val="clear" w:color="auto" w:fill="F37973"/>
          </w:tcPr>
          <w:p w14:paraId="47A37F56" w14:textId="77777777" w:rsidR="002758DA" w:rsidRDefault="002758DA" w:rsidP="002758DA"/>
        </w:tc>
        <w:tc>
          <w:tcPr>
            <w:tcW w:w="7371" w:type="dxa"/>
          </w:tcPr>
          <w:p w14:paraId="6658E579" w14:textId="77777777" w:rsidR="002758DA" w:rsidRDefault="00043D21" w:rsidP="00043D21">
            <w:pPr>
              <w:pStyle w:val="TableText"/>
            </w:pPr>
            <w:r w:rsidRPr="00C000B2">
              <w:t>Although cervical cancer rates have decreased substantially over the last 20 years, Māori women have higher rates of cervical cancer (almost twice the rate of non-Māori women) (</w:t>
            </w:r>
            <w:r>
              <w:fldChar w:fldCharType="begin"/>
            </w:r>
            <w:r>
              <w:instrText xml:space="preserve"> REF _Ref94874086 \h </w:instrText>
            </w:r>
            <w:r>
              <w:fldChar w:fldCharType="separate"/>
            </w:r>
            <w:r w:rsidR="006E6019">
              <w:t>Figure </w:t>
            </w:r>
            <w:r w:rsidR="006E6019">
              <w:rPr>
                <w:noProof/>
              </w:rPr>
              <w:t>34</w:t>
            </w:r>
            <w:r>
              <w:fldChar w:fldCharType="end"/>
            </w:r>
            <w:r w:rsidRPr="00C000B2">
              <w:t>) and have higher mortality from cervical cancer than non-Māori, non-Pacific women.</w:t>
            </w:r>
            <w:r w:rsidRPr="00043D21">
              <w:rPr>
                <w:vertAlign w:val="superscript"/>
              </w:rPr>
              <w:t>38</w:t>
            </w:r>
          </w:p>
        </w:tc>
      </w:tr>
    </w:tbl>
    <w:p w14:paraId="6B84C67D" w14:textId="77777777" w:rsidR="00EF27EC" w:rsidRPr="00C000B2" w:rsidRDefault="00EF27EC" w:rsidP="00043D21">
      <w:pPr>
        <w:spacing w:after="240"/>
      </w:pPr>
    </w:p>
    <w:p w14:paraId="5FBF92AF" w14:textId="2389E1BA" w:rsidR="00EF27EC" w:rsidRDefault="00043D21" w:rsidP="00043D21">
      <w:pPr>
        <w:pStyle w:val="Figure"/>
      </w:pPr>
      <w:bookmarkStart w:id="208" w:name="_Ref94874086"/>
      <w:bookmarkStart w:id="209" w:name="_Toc95059155"/>
      <w:r>
        <w:t>Figure </w:t>
      </w:r>
      <w:r w:rsidR="00F50B6E">
        <w:fldChar w:fldCharType="begin"/>
      </w:r>
      <w:r w:rsidR="00F50B6E">
        <w:instrText xml:space="preserve"> SEQ Figure \* ARABIC </w:instrText>
      </w:r>
      <w:r w:rsidR="00F50B6E">
        <w:fldChar w:fldCharType="separate"/>
      </w:r>
      <w:r w:rsidR="006E6019">
        <w:rPr>
          <w:noProof/>
        </w:rPr>
        <w:t>34</w:t>
      </w:r>
      <w:r w:rsidR="00F50B6E">
        <w:rPr>
          <w:noProof/>
        </w:rPr>
        <w:fldChar w:fldCharType="end"/>
      </w:r>
      <w:bookmarkEnd w:id="208"/>
      <w:r w:rsidR="00EF27EC" w:rsidRPr="00C000B2">
        <w:t>: Incidence of cervical cancer for Māori and non-Māori, 1996–2017</w:t>
      </w:r>
      <w:bookmarkEnd w:id="209"/>
      <w:r w:rsidR="0060405B">
        <w:t>*</w:t>
      </w:r>
    </w:p>
    <w:p w14:paraId="536B255B" w14:textId="77777777" w:rsidR="00043D21" w:rsidRDefault="00043D21" w:rsidP="00043D21">
      <w:r>
        <w:rPr>
          <w:noProof/>
          <w:lang w:eastAsia="en-NZ"/>
        </w:rPr>
        <w:drawing>
          <wp:inline distT="0" distB="0" distL="0" distR="0" wp14:anchorId="09DB6C1E" wp14:editId="41CF72B8">
            <wp:extent cx="3951798" cy="2826452"/>
            <wp:effectExtent l="0" t="0" r="0" b="0"/>
            <wp:docPr id="1706" name="Picture 1706" title="Figure 34: Incidence of cervical cancer for Māori and non-Māori, 199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953071" cy="2827363"/>
                    </a:xfrm>
                    <a:prstGeom prst="rect">
                      <a:avLst/>
                    </a:prstGeom>
                  </pic:spPr>
                </pic:pic>
              </a:graphicData>
            </a:graphic>
          </wp:inline>
        </w:drawing>
      </w:r>
    </w:p>
    <w:p w14:paraId="5084EF78" w14:textId="7BA56B51" w:rsidR="00043D21" w:rsidRDefault="00043D21" w:rsidP="00043D21">
      <w:pPr>
        <w:spacing w:after="240"/>
      </w:pPr>
    </w:p>
    <w:p w14:paraId="1412FEF6" w14:textId="37CBD2A6" w:rsidR="0060405B" w:rsidRDefault="0060405B" w:rsidP="00043D21">
      <w:pPr>
        <w:spacing w:after="240"/>
      </w:pPr>
    </w:p>
    <w:p w14:paraId="215CF563" w14:textId="063E8A98" w:rsidR="0060405B" w:rsidRDefault="0060405B" w:rsidP="00043D21">
      <w:pPr>
        <w:spacing w:after="240"/>
      </w:pPr>
    </w:p>
    <w:p w14:paraId="2857A277" w14:textId="45008061" w:rsidR="0060405B" w:rsidRDefault="0060405B" w:rsidP="00043D21">
      <w:pPr>
        <w:spacing w:after="240"/>
      </w:pPr>
    </w:p>
    <w:p w14:paraId="3F49D837" w14:textId="52E44017" w:rsidR="0060405B" w:rsidRPr="00043D21" w:rsidRDefault="0060405B" w:rsidP="0060405B">
      <w:pPr>
        <w:spacing w:after="240"/>
      </w:pPr>
      <w:r w:rsidRPr="0060405B">
        <w:rPr>
          <w:rStyle w:val="FootnoteReference"/>
          <w:sz w:val="17"/>
          <w:szCs w:val="17"/>
          <w:vertAlign w:val="baseline"/>
        </w:rPr>
        <w:t>*</w:t>
      </w:r>
      <w:r w:rsidRPr="0060405B">
        <w:rPr>
          <w:rStyle w:val="FootnoteReference"/>
          <w:sz w:val="17"/>
          <w:szCs w:val="17"/>
          <w:vertAlign w:val="baseline"/>
        </w:rPr>
        <w:tab/>
      </w:r>
      <w:r w:rsidRPr="0060405B">
        <w:rPr>
          <w:sz w:val="17"/>
          <w:szCs w:val="17"/>
        </w:rPr>
        <w:t>Age- and sex-standardised to 2001 Māori census population</w:t>
      </w:r>
      <w:r>
        <w:rPr>
          <w:sz w:val="17"/>
          <w:szCs w:val="17"/>
        </w:rPr>
        <w:t>.</w:t>
      </w:r>
    </w:p>
    <w:p w14:paraId="16E3BF83" w14:textId="77777777" w:rsidR="00EF27EC" w:rsidRPr="00C000B2" w:rsidRDefault="00043D21" w:rsidP="00043D21">
      <w:r>
        <w:rPr>
          <w:noProof/>
          <w:lang w:eastAsia="en-NZ"/>
        </w:rPr>
        <w:lastRenderedPageBreak/>
        <w:drawing>
          <wp:inline distT="0" distB="0" distL="0" distR="0" wp14:anchorId="4E70E30C" wp14:editId="2D651EB8">
            <wp:extent cx="5130165" cy="1678266"/>
            <wp:effectExtent l="0" t="0" r="0" b="0"/>
            <wp:docPr id="1707" name="Picture 1707" descr="Human papillomavirus (HPV) is the main cause of cervical cancer. 189 New Zealanders were diagnosed with cervical cancer in 2018, including 43 wāhin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Picture 1707" descr="Human papillomavirus (HPV) is the main cause of cervical cancer. 189 New Zealanders were diagnosed with cervical cancer in 2018, including 43 wāhine Māori."/>
                    <pic:cNvPicPr/>
                  </pic:nvPicPr>
                  <pic:blipFill>
                    <a:blip r:embed="rId69"/>
                    <a:stretch>
                      <a:fillRect/>
                    </a:stretch>
                  </pic:blipFill>
                  <pic:spPr>
                    <a:xfrm>
                      <a:off x="0" y="0"/>
                      <a:ext cx="5130165" cy="1678266"/>
                    </a:xfrm>
                    <a:prstGeom prst="rect">
                      <a:avLst/>
                    </a:prstGeom>
                  </pic:spPr>
                </pic:pic>
              </a:graphicData>
            </a:graphic>
          </wp:inline>
        </w:drawing>
      </w:r>
    </w:p>
    <w:p w14:paraId="3A36D42A" w14:textId="77777777" w:rsidR="00EF27EC" w:rsidRPr="00C000B2" w:rsidRDefault="00EF27EC" w:rsidP="00043D21"/>
    <w:p w14:paraId="64762559" w14:textId="77777777" w:rsidR="00EF27EC" w:rsidRPr="00C000B2" w:rsidRDefault="009278A9" w:rsidP="00043D21">
      <w:pPr>
        <w:pStyle w:val="Heading3"/>
      </w:pPr>
      <w:bookmarkStart w:id="210" w:name="Figure_35:_Incidence_of_liver_cancer_for"/>
      <w:bookmarkStart w:id="211" w:name="_bookmark37"/>
      <w:bookmarkEnd w:id="210"/>
      <w:bookmarkEnd w:id="211"/>
      <w:r>
        <w:t>Hepatitis B</w:t>
      </w:r>
      <w:r w:rsidR="00EF27EC" w:rsidRPr="00C000B2">
        <w:t xml:space="preserve"> and </w:t>
      </w:r>
      <w:r>
        <w:t>hepatitis C</w:t>
      </w:r>
      <w:r w:rsidR="00EF27EC" w:rsidRPr="00C000B2">
        <w:t xml:space="preserve"> virus infections</w:t>
      </w:r>
    </w:p>
    <w:p w14:paraId="2383BC39" w14:textId="77777777" w:rsidR="00EF27EC" w:rsidRPr="00C000B2" w:rsidRDefault="009278A9" w:rsidP="00043D21">
      <w:pPr>
        <w:spacing w:before="138" w:line="290" w:lineRule="auto"/>
        <w:ind w:left="697" w:right="431"/>
      </w:pPr>
      <w:r>
        <w:t>Hepatitis B</w:t>
      </w:r>
      <w:r w:rsidR="00EF27EC" w:rsidRPr="00C000B2">
        <w:t xml:space="preserve"> and </w:t>
      </w:r>
      <w:r>
        <w:t>hepatitis C</w:t>
      </w:r>
      <w:r w:rsidR="00EF27EC" w:rsidRPr="00C000B2">
        <w:t xml:space="preserve"> are viruses that infect the liver. These viruses cause 80 percent of liver cancers in Aotearoa and globally.394 Most people with chronic </w:t>
      </w:r>
      <w:r>
        <w:t>hepatitis B</w:t>
      </w:r>
      <w:r w:rsidR="00EF27EC" w:rsidRPr="00C000B2">
        <w:t xml:space="preserve"> or </w:t>
      </w:r>
      <w:r>
        <w:t>hepatitis C</w:t>
      </w:r>
      <w:r w:rsidR="00EF27EC" w:rsidRPr="00C000B2">
        <w:t xml:space="preserve"> infections do not develop liver cancer. Approximately 40 percent of people with chronic hepatitis develop permanent liver damage (cirrhosis). Of those with cirrhosis, 1 percent with </w:t>
      </w:r>
      <w:r>
        <w:t>hepatitis B</w:t>
      </w:r>
      <w:r w:rsidR="00EF27EC" w:rsidRPr="00C000B2">
        <w:t xml:space="preserve"> and</w:t>
      </w:r>
      <w:r w:rsidR="00043D21">
        <w:t xml:space="preserve"> </w:t>
      </w:r>
      <w:r w:rsidR="00EF27EC" w:rsidRPr="00C000B2">
        <w:t xml:space="preserve">2–4 percent with </w:t>
      </w:r>
      <w:r>
        <w:t>hepatitis C</w:t>
      </w:r>
      <w:r w:rsidR="00EF27EC" w:rsidRPr="00C000B2">
        <w:t xml:space="preserve"> develop liver cancer each year.395,396 The risk of developing liver cancer is much higher in people who also drink high levels of alcohol or smoke regularly.397-400 Excess body weight (high BMI) increases the risk of developing liver cancer in people with chronic </w:t>
      </w:r>
      <w:r>
        <w:t>hepatitis B</w:t>
      </w:r>
      <w:r w:rsidR="00EF27EC" w:rsidRPr="00C000B2">
        <w:t xml:space="preserve"> infection.399,401</w:t>
      </w:r>
    </w:p>
    <w:p w14:paraId="0FD897F9" w14:textId="77777777" w:rsidR="00EF27EC" w:rsidRPr="00C000B2" w:rsidRDefault="00EF27EC" w:rsidP="00EF27EC">
      <w:pPr>
        <w:spacing w:before="10"/>
      </w:pPr>
    </w:p>
    <w:p w14:paraId="034AE6F4" w14:textId="77777777" w:rsidR="00EF27EC" w:rsidRPr="00C000B2" w:rsidRDefault="00EF27EC" w:rsidP="00EF27EC">
      <w:pPr>
        <w:spacing w:line="290" w:lineRule="auto"/>
        <w:ind w:left="697" w:right="252"/>
      </w:pPr>
      <w:r w:rsidRPr="00C000B2">
        <w:t>In Aotearoa, liver cancer rates have increased steadily over the last 20 years (</w:t>
      </w:r>
      <w:r w:rsidR="00CA7ED1">
        <w:fldChar w:fldCharType="begin"/>
      </w:r>
      <w:r w:rsidR="00CA7ED1">
        <w:instrText xml:space="preserve"> REF _Ref94874466 \h </w:instrText>
      </w:r>
      <w:r w:rsidR="00CA7ED1">
        <w:fldChar w:fldCharType="separate"/>
      </w:r>
      <w:r w:rsidR="006E6019">
        <w:t>Figure </w:t>
      </w:r>
      <w:r w:rsidR="006E6019">
        <w:rPr>
          <w:noProof/>
        </w:rPr>
        <w:t>35</w:t>
      </w:r>
      <w:r w:rsidR="00CA7ED1">
        <w:fldChar w:fldCharType="end"/>
      </w:r>
      <w:r w:rsidRPr="00C000B2">
        <w:t>). There were 366 new cases of liver cancer in 2018, including 85</w:t>
      </w:r>
      <w:r w:rsidR="00CA7ED1">
        <w:t> </w:t>
      </w:r>
      <w:r w:rsidRPr="00C000B2">
        <w:t>Māori.</w:t>
      </w:r>
      <w:r w:rsidRPr="00CA7ED1">
        <w:rPr>
          <w:vertAlign w:val="superscript"/>
        </w:rPr>
        <w:t>2</w:t>
      </w:r>
      <w:r w:rsidRPr="00C000B2">
        <w:t xml:space="preserve"> Liver cancer is associated with poor survival – only 21 percent of people survive for five years after their diagnosis.</w:t>
      </w:r>
      <w:r w:rsidRPr="00CA7ED1">
        <w:rPr>
          <w:vertAlign w:val="superscript"/>
        </w:rPr>
        <w:t>38</w:t>
      </w:r>
      <w:r w:rsidRPr="00C000B2">
        <w:t xml:space="preserve"> In 2018, there were 288</w:t>
      </w:r>
      <w:r w:rsidR="00CA7ED1">
        <w:t> </w:t>
      </w:r>
      <w:r w:rsidRPr="00C000B2">
        <w:t>deaths from liver cancer, including 58 Māori.</w:t>
      </w:r>
      <w:r w:rsidRPr="00CA7ED1">
        <w:rPr>
          <w:vertAlign w:val="superscript"/>
        </w:rPr>
        <w:t>2</w:t>
      </w:r>
    </w:p>
    <w:p w14:paraId="6B8ADAA8" w14:textId="77777777" w:rsidR="00EF27EC" w:rsidRDefault="00EF27EC" w:rsidP="00CA7ED1">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043D21" w14:paraId="7635D577" w14:textId="77777777" w:rsidTr="00047D6F">
        <w:trPr>
          <w:cantSplit/>
        </w:trPr>
        <w:tc>
          <w:tcPr>
            <w:tcW w:w="426" w:type="dxa"/>
            <w:tcBorders>
              <w:right w:val="single" w:sz="48" w:space="0" w:color="FFFFFF" w:themeColor="background1"/>
            </w:tcBorders>
            <w:shd w:val="clear" w:color="auto" w:fill="F37973"/>
          </w:tcPr>
          <w:p w14:paraId="48F34BD4" w14:textId="77777777" w:rsidR="00043D21" w:rsidRDefault="00043D21" w:rsidP="00047D6F"/>
        </w:tc>
        <w:tc>
          <w:tcPr>
            <w:tcW w:w="7371" w:type="dxa"/>
          </w:tcPr>
          <w:p w14:paraId="38B0EB0B" w14:textId="77777777" w:rsidR="00043D21" w:rsidRDefault="00CA7ED1" w:rsidP="00047D6F">
            <w:pPr>
              <w:pStyle w:val="TableText"/>
            </w:pPr>
            <w:r w:rsidRPr="00C000B2">
              <w:t>Māori and Pacific peoples have substantially higher rates of liver cancer than non-Māori, non-Pacific.</w:t>
            </w:r>
            <w:r w:rsidRPr="00CA7ED1">
              <w:rPr>
                <w:vertAlign w:val="superscript"/>
              </w:rPr>
              <w:t>395</w:t>
            </w:r>
            <w:r w:rsidRPr="00C000B2">
              <w:t xml:space="preserve"> Compared with non-Māori, Māori are 30 percent more likely to die following a diagnosis of liver cancer.</w:t>
            </w:r>
            <w:r w:rsidRPr="00CA7ED1">
              <w:rPr>
                <w:vertAlign w:val="superscript"/>
              </w:rPr>
              <w:t>3</w:t>
            </w:r>
          </w:p>
        </w:tc>
      </w:tr>
    </w:tbl>
    <w:p w14:paraId="0A4B3995" w14:textId="77777777" w:rsidR="00043D21" w:rsidRPr="00C000B2" w:rsidRDefault="00043D21" w:rsidP="00CA7ED1">
      <w:pPr>
        <w:spacing w:after="240"/>
      </w:pPr>
    </w:p>
    <w:p w14:paraId="02ECCCA5" w14:textId="0748DD98" w:rsidR="00EF27EC" w:rsidRDefault="00CA7ED1" w:rsidP="00CA7ED1">
      <w:pPr>
        <w:pStyle w:val="Figure"/>
      </w:pPr>
      <w:bookmarkStart w:id="212" w:name="_Ref94874466"/>
      <w:bookmarkStart w:id="213" w:name="_Toc95059156"/>
      <w:r>
        <w:lastRenderedPageBreak/>
        <w:t>Figure </w:t>
      </w:r>
      <w:r w:rsidR="00F50B6E">
        <w:fldChar w:fldCharType="begin"/>
      </w:r>
      <w:r w:rsidR="00F50B6E">
        <w:instrText xml:space="preserve"> SEQ Figure \* ARABIC </w:instrText>
      </w:r>
      <w:r w:rsidR="00F50B6E">
        <w:fldChar w:fldCharType="separate"/>
      </w:r>
      <w:r w:rsidR="006E6019">
        <w:rPr>
          <w:noProof/>
        </w:rPr>
        <w:t>35</w:t>
      </w:r>
      <w:r w:rsidR="00F50B6E">
        <w:rPr>
          <w:noProof/>
        </w:rPr>
        <w:fldChar w:fldCharType="end"/>
      </w:r>
      <w:bookmarkEnd w:id="212"/>
      <w:r w:rsidR="00EF27EC" w:rsidRPr="00C000B2">
        <w:t>: Incidence of liver cancer for Māori and non-Māori females and males in Aotearoa, 1996–2017</w:t>
      </w:r>
      <w:bookmarkEnd w:id="213"/>
      <w:r w:rsidR="0060405B">
        <w:t>*</w:t>
      </w:r>
    </w:p>
    <w:p w14:paraId="51737C4E" w14:textId="77777777" w:rsidR="00CA7ED1" w:rsidRPr="00CA7ED1" w:rsidRDefault="00CA7ED1" w:rsidP="00CA7ED1">
      <w:r>
        <w:rPr>
          <w:noProof/>
          <w:lang w:eastAsia="en-NZ"/>
        </w:rPr>
        <w:drawing>
          <wp:inline distT="0" distB="0" distL="0" distR="0" wp14:anchorId="65DF8F3C" wp14:editId="4C86D679">
            <wp:extent cx="5130165" cy="3924905"/>
            <wp:effectExtent l="0" t="0" r="0" b="0"/>
            <wp:docPr id="1713" name="Picture 1713" title="Figure 35: Incidence of liver cancer for Māori and non-Māori females and males in Aotearoa, 199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30165" cy="3924905"/>
                    </a:xfrm>
                    <a:prstGeom prst="rect">
                      <a:avLst/>
                    </a:prstGeom>
                  </pic:spPr>
                </pic:pic>
              </a:graphicData>
            </a:graphic>
          </wp:inline>
        </w:drawing>
      </w:r>
    </w:p>
    <w:p w14:paraId="5674962D" w14:textId="77777777" w:rsidR="00EF27EC" w:rsidRPr="00C000B2" w:rsidRDefault="00EF27EC" w:rsidP="00CA7ED1"/>
    <w:p w14:paraId="51B22506" w14:textId="77777777" w:rsidR="00EF27EC" w:rsidRPr="00C000B2" w:rsidRDefault="00EF27EC" w:rsidP="00CA7ED1">
      <w:pPr>
        <w:pStyle w:val="Heading3"/>
      </w:pPr>
      <w:bookmarkStart w:id="214" w:name="How_big_is_the_problem_of_chronic_infect"/>
      <w:bookmarkStart w:id="215" w:name="_bookmark38"/>
      <w:bookmarkEnd w:id="214"/>
      <w:bookmarkEnd w:id="215"/>
      <w:r w:rsidRPr="00C000B2">
        <w:t>Human immunodeficiency virus (HIV) infections</w:t>
      </w:r>
    </w:p>
    <w:p w14:paraId="3A432781" w14:textId="77777777" w:rsidR="00EF27EC" w:rsidRPr="00C000B2" w:rsidRDefault="00EF27EC" w:rsidP="00CA7ED1">
      <w:r w:rsidRPr="00C000B2">
        <w:t>Human immunodeficiency virus (HIV) is a virus that infects and weakens the body’s immune system.</w:t>
      </w:r>
      <w:r w:rsidR="00CA7ED1">
        <w:t xml:space="preserve"> </w:t>
      </w:r>
      <w:r w:rsidRPr="00C000B2">
        <w:t xml:space="preserve">The most advanced stage of untreated HIV infection is acquired immunodeficiency syndrome (AIDS). AIDS can take many years to develop and is defined by the development of certain cancers, </w:t>
      </w:r>
      <w:proofErr w:type="gramStart"/>
      <w:r w:rsidRPr="00C000B2">
        <w:t>infections</w:t>
      </w:r>
      <w:proofErr w:type="gramEnd"/>
      <w:r w:rsidRPr="00C000B2">
        <w:t xml:space="preserve"> or other severe long-term clinical manifestations. HIV causes immunosuppression and inflammation which can contribute to the development of lymphomas and other cancers. It reduces the body’s ability to fight infections, including certain viral infections that may lead to cancer, such as HPV and </w:t>
      </w:r>
      <w:r w:rsidR="009278A9">
        <w:t>Hepatitis B</w:t>
      </w:r>
      <w:r w:rsidRPr="00C000B2">
        <w:t xml:space="preserve"> and </w:t>
      </w:r>
      <w:r w:rsidR="009278A9">
        <w:t>Hepatitis C</w:t>
      </w:r>
      <w:r w:rsidRPr="00C000B2">
        <w:t>. In addition, the prevalence of other cancer risk factors, such as tobacco, are higher among people infected with HIV.</w:t>
      </w:r>
      <w:r w:rsidRPr="00CA7ED1">
        <w:rPr>
          <w:vertAlign w:val="superscript"/>
        </w:rPr>
        <w:t>402</w:t>
      </w:r>
    </w:p>
    <w:p w14:paraId="3D4F4EEA" w14:textId="77777777" w:rsidR="00EF27EC" w:rsidRPr="00C000B2" w:rsidRDefault="00EF27EC" w:rsidP="00CA7ED1"/>
    <w:p w14:paraId="269332B0" w14:textId="77777777" w:rsidR="00EF27EC" w:rsidRPr="00C000B2" w:rsidRDefault="00EF27EC" w:rsidP="00CA7ED1">
      <w:r w:rsidRPr="00C000B2">
        <w:t xml:space="preserve">Compared with the general population, there is an increased risk of some cancers including anal cancer (19 times higher), Hodgkin’s lymphoma (8 times higher), liver cancer (3 times higher), lung cancer (2 times higher) and oropharyngeal cancer (2 times higher). HIV infection increases the risk of Kaposi sarcoma by 500 times, non-Hodgkin lymphoma by 12 times and cervical cancer among women </w:t>
      </w:r>
      <w:proofErr w:type="gramStart"/>
      <w:r w:rsidRPr="00C000B2">
        <w:t>trifold</w:t>
      </w:r>
      <w:proofErr w:type="gramEnd"/>
      <w:r w:rsidRPr="00C000B2">
        <w:t>.</w:t>
      </w:r>
      <w:r w:rsidRPr="00CA7ED1">
        <w:rPr>
          <w:vertAlign w:val="superscript"/>
        </w:rPr>
        <w:t>14</w:t>
      </w:r>
      <w:r w:rsidRPr="00C000B2">
        <w:t xml:space="preserve"> About 30 percent of head and neck cancers and most oropharyngeal cancers in people with HIV are HPV</w:t>
      </w:r>
      <w:r w:rsidR="00CA7ED1">
        <w:noBreakHyphen/>
      </w:r>
      <w:r w:rsidRPr="00C000B2">
        <w:t>related.</w:t>
      </w:r>
      <w:r w:rsidRPr="00CA7ED1">
        <w:rPr>
          <w:vertAlign w:val="superscript"/>
        </w:rPr>
        <w:t>402</w:t>
      </w:r>
    </w:p>
    <w:p w14:paraId="780C4EF2" w14:textId="1169C19A" w:rsidR="00EF27EC" w:rsidRDefault="00EF27EC" w:rsidP="00CA7ED1"/>
    <w:p w14:paraId="2134D8F6" w14:textId="037408B2" w:rsidR="0060405B" w:rsidRDefault="0060405B" w:rsidP="00CA7ED1"/>
    <w:p w14:paraId="157E5867" w14:textId="2B1222B0" w:rsidR="0060405B" w:rsidRDefault="0060405B" w:rsidP="00CA7ED1"/>
    <w:p w14:paraId="71C98769" w14:textId="0DDF8454" w:rsidR="0060405B" w:rsidRPr="00C000B2" w:rsidRDefault="0060405B" w:rsidP="0060405B">
      <w:r w:rsidRPr="0060405B">
        <w:rPr>
          <w:rStyle w:val="FootnoteReference"/>
          <w:sz w:val="17"/>
          <w:szCs w:val="17"/>
          <w:vertAlign w:val="baseline"/>
        </w:rPr>
        <w:t>*</w:t>
      </w:r>
      <w:r w:rsidRPr="0060405B">
        <w:rPr>
          <w:rStyle w:val="FootnoteReference"/>
          <w:sz w:val="17"/>
          <w:szCs w:val="17"/>
          <w:vertAlign w:val="baseline"/>
        </w:rPr>
        <w:tab/>
      </w:r>
      <w:r w:rsidRPr="0060405B">
        <w:rPr>
          <w:sz w:val="17"/>
          <w:szCs w:val="17"/>
        </w:rPr>
        <w:t>Age- and sex-standardised to 2001 Māori census population</w:t>
      </w:r>
      <w:r>
        <w:rPr>
          <w:sz w:val="17"/>
          <w:szCs w:val="17"/>
        </w:rPr>
        <w:t>.</w:t>
      </w:r>
    </w:p>
    <w:p w14:paraId="0B3D7EEC" w14:textId="77777777" w:rsidR="00EF27EC" w:rsidRPr="00C000B2" w:rsidRDefault="00EF27EC" w:rsidP="00CA7ED1">
      <w:pPr>
        <w:keepLines/>
      </w:pPr>
      <w:r w:rsidRPr="00C000B2">
        <w:lastRenderedPageBreak/>
        <w:t>Although there are no specific data on HIV related cancers in Aotearoa, the burden of these cancers will be relatively low because HIV prevalence is low in Aotearoa. HIV is associated with an increased risk of dying from cancer, likely due to factors including immunocompromise or poorer access to appropriate cancer treatment.</w:t>
      </w:r>
      <w:r w:rsidRPr="00CA7ED1">
        <w:rPr>
          <w:vertAlign w:val="superscript"/>
        </w:rPr>
        <w:t>403</w:t>
      </w:r>
    </w:p>
    <w:p w14:paraId="513AD184" w14:textId="77777777" w:rsidR="00EF27EC" w:rsidRPr="00C000B2" w:rsidRDefault="00EF27EC" w:rsidP="00CA7ED1"/>
    <w:p w14:paraId="58848E1E" w14:textId="77777777" w:rsidR="00EF27EC" w:rsidRPr="00C000B2" w:rsidRDefault="00EF27EC" w:rsidP="000546DD">
      <w:pPr>
        <w:pStyle w:val="Heading2"/>
      </w:pPr>
      <w:bookmarkStart w:id="216" w:name="_Toc95742670"/>
      <w:r w:rsidRPr="00C000B2">
        <w:t>How big is the problem of chronic infections in Aotearoa?</w:t>
      </w:r>
      <w:bookmarkEnd w:id="216"/>
    </w:p>
    <w:p w14:paraId="704CF494" w14:textId="77777777" w:rsidR="00EF27EC" w:rsidRPr="00C000B2" w:rsidRDefault="00EF27EC" w:rsidP="003C5278">
      <w:pPr>
        <w:pStyle w:val="Heading3"/>
      </w:pPr>
      <w:r w:rsidRPr="003C5278">
        <w:rPr>
          <w:i/>
        </w:rPr>
        <w:t>H. pylori</w:t>
      </w:r>
      <w:r w:rsidRPr="00C000B2">
        <w:t xml:space="preserve"> infection</w:t>
      </w:r>
    </w:p>
    <w:p w14:paraId="534FD03E" w14:textId="77777777" w:rsidR="00EF27EC" w:rsidRPr="00C000B2" w:rsidRDefault="00EF27EC" w:rsidP="003C5278">
      <w:r w:rsidRPr="00C000B2">
        <w:rPr>
          <w:i/>
        </w:rPr>
        <w:t xml:space="preserve">H. pylori </w:t>
      </w:r>
      <w:r w:rsidRPr="00C000B2">
        <w:t xml:space="preserve">is spread through direct contact with saliva, </w:t>
      </w:r>
      <w:proofErr w:type="gramStart"/>
      <w:r w:rsidRPr="00C000B2">
        <w:t>vomit</w:t>
      </w:r>
      <w:proofErr w:type="gramEnd"/>
      <w:r w:rsidRPr="00C000B2">
        <w:t xml:space="preserve"> or faeces. It may also be spread through contaminated water and food. Most people with </w:t>
      </w:r>
      <w:r w:rsidRPr="00C000B2">
        <w:rPr>
          <w:i/>
        </w:rPr>
        <w:t>H. pylori</w:t>
      </w:r>
      <w:r w:rsidRPr="003C5278">
        <w:t xml:space="preserve"> </w:t>
      </w:r>
      <w:r w:rsidRPr="00C000B2">
        <w:t>infection get infected in childhood.</w:t>
      </w:r>
      <w:r w:rsidRPr="003C5278">
        <w:rPr>
          <w:vertAlign w:val="superscript"/>
        </w:rPr>
        <w:t>404</w:t>
      </w:r>
      <w:r w:rsidRPr="00C000B2">
        <w:t xml:space="preserve"> Infection is strongly associated with poverty and household overcrowding.</w:t>
      </w:r>
      <w:r w:rsidRPr="003C5278">
        <w:rPr>
          <w:vertAlign w:val="superscript"/>
        </w:rPr>
        <w:t>405</w:t>
      </w:r>
    </w:p>
    <w:p w14:paraId="37F4CBBE" w14:textId="77777777" w:rsidR="00EF27EC" w:rsidRDefault="00EF27EC" w:rsidP="003C5278">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043D21" w14:paraId="248628AF" w14:textId="77777777" w:rsidTr="00047D6F">
        <w:trPr>
          <w:cantSplit/>
        </w:trPr>
        <w:tc>
          <w:tcPr>
            <w:tcW w:w="426" w:type="dxa"/>
            <w:tcBorders>
              <w:right w:val="single" w:sz="48" w:space="0" w:color="FFFFFF" w:themeColor="background1"/>
            </w:tcBorders>
            <w:shd w:val="clear" w:color="auto" w:fill="F37973"/>
          </w:tcPr>
          <w:p w14:paraId="4538FD1B" w14:textId="77777777" w:rsidR="00043D21" w:rsidRDefault="00043D21" w:rsidP="00047D6F"/>
        </w:tc>
        <w:tc>
          <w:tcPr>
            <w:tcW w:w="7371" w:type="dxa"/>
          </w:tcPr>
          <w:p w14:paraId="3652E0C8" w14:textId="77777777" w:rsidR="00043D21" w:rsidRDefault="003C5278" w:rsidP="003C5278">
            <w:pPr>
              <w:pStyle w:val="TableText"/>
            </w:pPr>
            <w:r w:rsidRPr="00C000B2">
              <w:rPr>
                <w:i/>
              </w:rPr>
              <w:t xml:space="preserve">H. pylori </w:t>
            </w:r>
            <w:r w:rsidRPr="00C000B2">
              <w:t>infection rates are not regularly monitored in Aotearoa. Estimates of prevalence based on blood testing between 1983 and 1999 showed that Māori (18–57 percent) and Pacific peoples (39–83 percent) had more than double the infection rates of New Zealand Europeans</w:t>
            </w:r>
            <w:r>
              <w:t xml:space="preserve"> </w:t>
            </w:r>
            <w:r w:rsidRPr="00C000B2">
              <w:t>(7–35 percent).</w:t>
            </w:r>
            <w:r w:rsidRPr="003C5278">
              <w:rPr>
                <w:vertAlign w:val="superscript"/>
              </w:rPr>
              <w:t>390</w:t>
            </w:r>
            <w:r w:rsidRPr="00C000B2">
              <w:t xml:space="preserve"> This is consistent with higher rates of poverty and household overcrowding for Māori and Pacific families.</w:t>
            </w:r>
            <w:r w:rsidRPr="003C5278">
              <w:rPr>
                <w:vertAlign w:val="superscript"/>
              </w:rPr>
              <w:t>406–408</w:t>
            </w:r>
          </w:p>
        </w:tc>
      </w:tr>
    </w:tbl>
    <w:p w14:paraId="49D374C0" w14:textId="77777777" w:rsidR="00043D21" w:rsidRPr="00C000B2" w:rsidRDefault="00043D21" w:rsidP="003C5278">
      <w:pPr>
        <w:spacing w:after="240"/>
      </w:pPr>
    </w:p>
    <w:p w14:paraId="5032C5E9" w14:textId="77777777" w:rsidR="00EF27EC" w:rsidRPr="00C000B2" w:rsidRDefault="003C5278" w:rsidP="003C5278">
      <w:pPr>
        <w:pStyle w:val="Heading3"/>
      </w:pPr>
      <w:r>
        <w:rPr>
          <w:noProof/>
          <w:lang w:eastAsia="en-NZ"/>
        </w:rPr>
        <w:drawing>
          <wp:anchor distT="0" distB="0" distL="114300" distR="0" simplePos="0" relativeHeight="252168192" behindDoc="0" locked="0" layoutInCell="1" allowOverlap="1" wp14:anchorId="6BDECC73" wp14:editId="1F704B2B">
            <wp:simplePos x="0" y="0"/>
            <wp:positionH relativeFrom="column">
              <wp:posOffset>2994660</wp:posOffset>
            </wp:positionH>
            <wp:positionV relativeFrom="page">
              <wp:posOffset>6098540</wp:posOffset>
            </wp:positionV>
            <wp:extent cx="2127250" cy="795020"/>
            <wp:effectExtent l="0" t="0" r="6350" b="5080"/>
            <wp:wrapSquare wrapText="left"/>
            <wp:docPr id="1714" name="Picture 1714" descr="Nearly 8 in 10 people will be exposed to HPV in their lif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Picture 1714" descr="Nearly 8 in 10 people will be exposed to HPV in their lifetime."/>
                    <pic:cNvPicPr/>
                  </pic:nvPicPr>
                  <pic:blipFill>
                    <a:blip r:embed="rId71">
                      <a:extLst>
                        <a:ext uri="{28A0092B-C50C-407E-A947-70E740481C1C}">
                          <a14:useLocalDpi xmlns:a14="http://schemas.microsoft.com/office/drawing/2010/main" val="0"/>
                        </a:ext>
                      </a:extLst>
                    </a:blip>
                    <a:stretch>
                      <a:fillRect/>
                    </a:stretch>
                  </pic:blipFill>
                  <pic:spPr>
                    <a:xfrm>
                      <a:off x="0" y="0"/>
                      <a:ext cx="2127250" cy="795020"/>
                    </a:xfrm>
                    <a:prstGeom prst="rect">
                      <a:avLst/>
                    </a:prstGeom>
                  </pic:spPr>
                </pic:pic>
              </a:graphicData>
            </a:graphic>
            <wp14:sizeRelH relativeFrom="page">
              <wp14:pctWidth>0</wp14:pctWidth>
            </wp14:sizeRelH>
            <wp14:sizeRelV relativeFrom="page">
              <wp14:pctHeight>0</wp14:pctHeight>
            </wp14:sizeRelV>
          </wp:anchor>
        </w:drawing>
      </w:r>
      <w:r w:rsidR="00EF27EC" w:rsidRPr="00C000B2">
        <w:t>HPV infection</w:t>
      </w:r>
    </w:p>
    <w:p w14:paraId="46DF6585" w14:textId="77777777" w:rsidR="00EF27EC" w:rsidRPr="00C000B2" w:rsidRDefault="00EF27EC" w:rsidP="003C5278">
      <w:r w:rsidRPr="00C000B2">
        <w:t>HPV is spread through skin-to-skin contact and through sexual activity. Nearly 80</w:t>
      </w:r>
      <w:r w:rsidR="003C5278">
        <w:t> </w:t>
      </w:r>
      <w:r w:rsidRPr="00C000B2">
        <w:t>percent of people will be exposed to HPV in</w:t>
      </w:r>
      <w:r w:rsidR="003C5278">
        <w:t xml:space="preserve"> </w:t>
      </w:r>
      <w:r w:rsidRPr="00C000B2">
        <w:t>their lifetime and around two-thirds of people will be infected with HPV within three years of becoming sexually active.</w:t>
      </w:r>
      <w:r w:rsidRPr="003C5278">
        <w:rPr>
          <w:vertAlign w:val="superscript"/>
        </w:rPr>
        <w:t>393</w:t>
      </w:r>
      <w:r w:rsidRPr="00C000B2">
        <w:t xml:space="preserve"> Most people with HPV do not develop cancer, however. This is</w:t>
      </w:r>
      <w:r w:rsidR="003C5278">
        <w:t xml:space="preserve"> </w:t>
      </w:r>
      <w:r w:rsidRPr="00C000B2">
        <w:t>because not all types of HPV cause cancer, and most people (98 percent) clear the virus completely and do not develop chronic infections that can lead to cancer.</w:t>
      </w:r>
      <w:r w:rsidRPr="003C5278">
        <w:rPr>
          <w:vertAlign w:val="superscript"/>
        </w:rPr>
        <w:t>393</w:t>
      </w:r>
    </w:p>
    <w:p w14:paraId="03466C0C" w14:textId="77777777" w:rsidR="00EF27EC" w:rsidRPr="00C000B2" w:rsidRDefault="00EF27EC" w:rsidP="003C5278"/>
    <w:p w14:paraId="3FABBBD6" w14:textId="77777777" w:rsidR="00EF27EC" w:rsidRPr="00C000B2" w:rsidRDefault="00EF27EC" w:rsidP="003C5278">
      <w:r w:rsidRPr="00C000B2">
        <w:t>As HPV infection rates are not regularly monitored, current prevalence is unknown. Testing for HPV in abnormal cervical smears between 2009 and 2011 found that 85</w:t>
      </w:r>
      <w:r w:rsidR="003C5278">
        <w:t> </w:t>
      </w:r>
      <w:r w:rsidRPr="00C000B2">
        <w:t>percent of smears with</w:t>
      </w:r>
      <w:r w:rsidR="003C5278">
        <w:t xml:space="preserve"> </w:t>
      </w:r>
      <w:bookmarkStart w:id="217" w:name="Figure_36:_HPV_coverage_of_girls_and_boy"/>
      <w:bookmarkStart w:id="218" w:name="￼"/>
      <w:bookmarkStart w:id="219" w:name="_bookmark39"/>
      <w:bookmarkEnd w:id="217"/>
      <w:bookmarkEnd w:id="218"/>
      <w:bookmarkEnd w:id="219"/>
      <w:r w:rsidRPr="00C000B2">
        <w:t>evidence of precancerous or invasive lesions were positive for HPV infection.</w:t>
      </w:r>
      <w:r w:rsidRPr="003C5278">
        <w:rPr>
          <w:vertAlign w:val="superscript"/>
        </w:rPr>
        <w:t>393</w:t>
      </w:r>
      <w:r w:rsidRPr="00C000B2">
        <w:t xml:space="preserve"> In Aotearoa, HPV immunisation has been available for girls since 2008 and for boys since 2017. Currently,</w:t>
      </w:r>
      <w:r w:rsidR="003C5278">
        <w:t xml:space="preserve"> </w:t>
      </w:r>
      <w:r w:rsidRPr="00C000B2">
        <w:t>recommended levels of vaccine coverage (75 percent) have not been achieved for any ethnic group. Sixty-nine percent of girls and 70 percent of boys born in 2006 have completed their course of HPV vaccines (</w:t>
      </w:r>
      <w:r w:rsidR="003C5278">
        <w:fldChar w:fldCharType="begin"/>
      </w:r>
      <w:r w:rsidR="003C5278">
        <w:instrText xml:space="preserve"> REF _Ref94874877 \h </w:instrText>
      </w:r>
      <w:r w:rsidR="003C5278">
        <w:fldChar w:fldCharType="separate"/>
      </w:r>
      <w:r w:rsidR="006E6019">
        <w:t>Figure </w:t>
      </w:r>
      <w:r w:rsidR="006E6019">
        <w:rPr>
          <w:noProof/>
        </w:rPr>
        <w:t>36</w:t>
      </w:r>
      <w:r w:rsidR="003C5278">
        <w:fldChar w:fldCharType="end"/>
      </w:r>
      <w:r w:rsidRPr="00C000B2">
        <w:t>).</w:t>
      </w:r>
    </w:p>
    <w:p w14:paraId="3A51D26B" w14:textId="77777777" w:rsidR="00EF27EC" w:rsidRDefault="00EF27EC" w:rsidP="003C5278">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043D21" w14:paraId="684CBEEA" w14:textId="77777777" w:rsidTr="00047D6F">
        <w:trPr>
          <w:cantSplit/>
        </w:trPr>
        <w:tc>
          <w:tcPr>
            <w:tcW w:w="426" w:type="dxa"/>
            <w:tcBorders>
              <w:right w:val="single" w:sz="48" w:space="0" w:color="FFFFFF" w:themeColor="background1"/>
            </w:tcBorders>
            <w:shd w:val="clear" w:color="auto" w:fill="F37973"/>
          </w:tcPr>
          <w:p w14:paraId="70021CE6" w14:textId="77777777" w:rsidR="00043D21" w:rsidRDefault="00043D21" w:rsidP="00047D6F"/>
        </w:tc>
        <w:tc>
          <w:tcPr>
            <w:tcW w:w="7371" w:type="dxa"/>
          </w:tcPr>
          <w:p w14:paraId="1C1B8F14" w14:textId="77777777" w:rsidR="00043D21" w:rsidRDefault="003C5278" w:rsidP="003C5278">
            <w:pPr>
              <w:pStyle w:val="TableText"/>
            </w:pPr>
            <w:r w:rsidRPr="00C000B2">
              <w:t>Māori have the lowest coverage (53 percent of both females and males for the 2006 birth cohort), compared with Pacific and total population coverage of around 65–70 percent for females and males (</w:t>
            </w:r>
            <w:r>
              <w:fldChar w:fldCharType="begin"/>
            </w:r>
            <w:r>
              <w:instrText xml:space="preserve"> REF _Ref94874877 \h </w:instrText>
            </w:r>
            <w:r>
              <w:fldChar w:fldCharType="separate"/>
            </w:r>
            <w:r w:rsidR="006E6019">
              <w:t>Figure </w:t>
            </w:r>
            <w:r w:rsidR="006E6019">
              <w:rPr>
                <w:noProof/>
              </w:rPr>
              <w:t>36</w:t>
            </w:r>
            <w:r>
              <w:fldChar w:fldCharType="end"/>
            </w:r>
            <w:r w:rsidRPr="00C000B2">
              <w:t>).</w:t>
            </w:r>
          </w:p>
        </w:tc>
      </w:tr>
    </w:tbl>
    <w:p w14:paraId="6345103D" w14:textId="77777777" w:rsidR="00EF27EC" w:rsidRPr="003C5278" w:rsidRDefault="003C5278" w:rsidP="003C5278">
      <w:pPr>
        <w:pStyle w:val="Figure"/>
        <w:spacing w:before="360"/>
      </w:pPr>
      <w:bookmarkStart w:id="220" w:name="_Ref94874877"/>
      <w:bookmarkStart w:id="221" w:name="_Toc95059157"/>
      <w:r>
        <w:lastRenderedPageBreak/>
        <w:t>Figure </w:t>
      </w:r>
      <w:r w:rsidR="00F50B6E">
        <w:fldChar w:fldCharType="begin"/>
      </w:r>
      <w:r w:rsidR="00F50B6E">
        <w:instrText xml:space="preserve"> SEQ Figure \* ARABIC </w:instrText>
      </w:r>
      <w:r w:rsidR="00F50B6E">
        <w:fldChar w:fldCharType="separate"/>
      </w:r>
      <w:r w:rsidR="006E6019">
        <w:rPr>
          <w:noProof/>
        </w:rPr>
        <w:t>36</w:t>
      </w:r>
      <w:r w:rsidR="00F50B6E">
        <w:rPr>
          <w:noProof/>
        </w:rPr>
        <w:fldChar w:fldCharType="end"/>
      </w:r>
      <w:bookmarkEnd w:id="220"/>
      <w:r w:rsidR="00EF27EC" w:rsidRPr="00C000B2">
        <w:t>: HPV coverage of girls and boys by 2003–2006 birth cohorts and ethnicity, as at July 2020</w:t>
      </w:r>
      <w:r w:rsidR="00EF27EC" w:rsidRPr="003C5278">
        <w:rPr>
          <w:b w:val="0"/>
          <w:vertAlign w:val="superscript"/>
        </w:rPr>
        <w:t>38</w:t>
      </w:r>
      <w:bookmarkEnd w:id="221"/>
    </w:p>
    <w:p w14:paraId="6B8CF050" w14:textId="77777777" w:rsidR="00EF27EC" w:rsidRPr="00C000B2" w:rsidRDefault="003C5278" w:rsidP="003C5278">
      <w:r>
        <w:rPr>
          <w:noProof/>
          <w:lang w:eastAsia="en-NZ"/>
        </w:rPr>
        <w:drawing>
          <wp:inline distT="0" distB="0" distL="0" distR="0" wp14:anchorId="549108E5" wp14:editId="5B0F1EF1">
            <wp:extent cx="5130165" cy="2157848"/>
            <wp:effectExtent l="0" t="0" r="0" b="0"/>
            <wp:docPr id="1715" name="Picture 1715" title="Figure 36: HPV coverage of girls and boys by 2003–2006 birth cohorts and ethnicity, as at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130165" cy="2157848"/>
                    </a:xfrm>
                    <a:prstGeom prst="rect">
                      <a:avLst/>
                    </a:prstGeom>
                  </pic:spPr>
                </pic:pic>
              </a:graphicData>
            </a:graphic>
          </wp:inline>
        </w:drawing>
      </w:r>
    </w:p>
    <w:p w14:paraId="18EC2C71" w14:textId="77777777" w:rsidR="003C5278" w:rsidRDefault="003C5278" w:rsidP="003C5278"/>
    <w:p w14:paraId="3771BCCC" w14:textId="77777777" w:rsidR="00EF27EC" w:rsidRPr="00C000B2" w:rsidRDefault="00EF27EC" w:rsidP="003C5278">
      <w:r w:rsidRPr="00C000B2">
        <w:t xml:space="preserve">Both </w:t>
      </w:r>
      <w:r w:rsidR="009278A9">
        <w:t>hepatitis B</w:t>
      </w:r>
      <w:r w:rsidRPr="00C000B2">
        <w:t xml:space="preserve"> and C can be spread through exposure to infected blood and body fluids. </w:t>
      </w:r>
      <w:r w:rsidR="009278A9">
        <w:t>Hepatitis B</w:t>
      </w:r>
      <w:r w:rsidRPr="00C000B2">
        <w:t xml:space="preserve"> is transmitted primarily from an infected mother to baby during delivery, through sexual contact with an infected person, and through sharing contaminated needles, </w:t>
      </w:r>
      <w:proofErr w:type="gramStart"/>
      <w:r w:rsidRPr="00C000B2">
        <w:t>syringes</w:t>
      </w:r>
      <w:proofErr w:type="gramEnd"/>
      <w:r w:rsidRPr="00C000B2">
        <w:t xml:space="preserve"> and other drug-injecting equipment. </w:t>
      </w:r>
      <w:r w:rsidR="009278A9">
        <w:t>Hepatitis C</w:t>
      </w:r>
      <w:r w:rsidRPr="00C000B2">
        <w:t xml:space="preserve"> is transmitted primarily through sharing contaminated drug- injecting equipment.</w:t>
      </w:r>
      <w:r w:rsidRPr="003C5278">
        <w:rPr>
          <w:vertAlign w:val="superscript"/>
        </w:rPr>
        <w:t>409</w:t>
      </w:r>
      <w:r w:rsidRPr="00C000B2">
        <w:t xml:space="preserve"> Intravenous drug use is a major risk factor for developing </w:t>
      </w:r>
      <w:r w:rsidR="009278A9">
        <w:t>hepatitis C</w:t>
      </w:r>
      <w:r w:rsidRPr="00C000B2">
        <w:t xml:space="preserve"> in Aotearoa.</w:t>
      </w:r>
      <w:r w:rsidRPr="003C5278">
        <w:rPr>
          <w:vertAlign w:val="superscript"/>
        </w:rPr>
        <w:t>410</w:t>
      </w:r>
      <w:r w:rsidRPr="00C000B2">
        <w:t xml:space="preserve"> Not everyone who is infected with </w:t>
      </w:r>
      <w:r w:rsidR="009278A9">
        <w:t>hepatitis B</w:t>
      </w:r>
      <w:r w:rsidRPr="00C000B2">
        <w:t xml:space="preserve"> or </w:t>
      </w:r>
      <w:r w:rsidR="009278A9">
        <w:t>hepatitis C</w:t>
      </w:r>
      <w:r w:rsidRPr="00C000B2">
        <w:t xml:space="preserve"> will develop a chronic infection. For </w:t>
      </w:r>
      <w:r w:rsidR="009278A9">
        <w:t>hepatitis B</w:t>
      </w:r>
      <w:r w:rsidRPr="00C000B2">
        <w:t>, the younger you are when you are infected, the higher the risk is that</w:t>
      </w:r>
      <w:r w:rsidR="003C5278">
        <w:t xml:space="preserve"> </w:t>
      </w:r>
      <w:r w:rsidRPr="00C000B2">
        <w:t xml:space="preserve">it will become chronic. For example, more than 30 percent of babies and young children develop chronic </w:t>
      </w:r>
      <w:r w:rsidR="009278A9">
        <w:t>hepatitis B</w:t>
      </w:r>
      <w:r w:rsidRPr="00C000B2">
        <w:t xml:space="preserve"> but only 5 percent of adults do.</w:t>
      </w:r>
      <w:r w:rsidRPr="003C5278">
        <w:rPr>
          <w:vertAlign w:val="superscript"/>
        </w:rPr>
        <w:t>409</w:t>
      </w:r>
      <w:r w:rsidRPr="00C000B2">
        <w:t xml:space="preserve"> There is an effective vaccine for </w:t>
      </w:r>
      <w:r w:rsidR="009278A9">
        <w:t>hepatitis B</w:t>
      </w:r>
      <w:r w:rsidRPr="00C000B2">
        <w:t xml:space="preserve"> (providing lifelong immunity in 95 percent of people), but no vaccine for </w:t>
      </w:r>
      <w:r w:rsidR="009278A9">
        <w:t>hepatitis C</w:t>
      </w:r>
      <w:r w:rsidRPr="00C000B2">
        <w:t>.</w:t>
      </w:r>
      <w:r w:rsidRPr="003C5278">
        <w:rPr>
          <w:vertAlign w:val="superscript"/>
        </w:rPr>
        <w:t>409</w:t>
      </w:r>
    </w:p>
    <w:p w14:paraId="2164BE78" w14:textId="77777777" w:rsidR="00EF27EC" w:rsidRDefault="00EF27EC" w:rsidP="003C5278">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043D21" w14:paraId="4D12ECFD" w14:textId="77777777" w:rsidTr="00047D6F">
        <w:trPr>
          <w:cantSplit/>
        </w:trPr>
        <w:tc>
          <w:tcPr>
            <w:tcW w:w="426" w:type="dxa"/>
            <w:tcBorders>
              <w:right w:val="single" w:sz="48" w:space="0" w:color="FFFFFF" w:themeColor="background1"/>
            </w:tcBorders>
            <w:shd w:val="clear" w:color="auto" w:fill="F37973"/>
          </w:tcPr>
          <w:p w14:paraId="30EBCBB3" w14:textId="77777777" w:rsidR="00043D21" w:rsidRDefault="00043D21" w:rsidP="00047D6F"/>
        </w:tc>
        <w:tc>
          <w:tcPr>
            <w:tcW w:w="7371" w:type="dxa"/>
          </w:tcPr>
          <w:p w14:paraId="60F25E27" w14:textId="77777777" w:rsidR="00043D21" w:rsidRDefault="003C5278" w:rsidP="003C5278">
            <w:pPr>
              <w:pStyle w:val="TableText"/>
            </w:pPr>
            <w:r w:rsidRPr="00C000B2">
              <w:t xml:space="preserve">In Aotearoa, </w:t>
            </w:r>
            <w:r w:rsidR="009278A9">
              <w:t>hepatitis B</w:t>
            </w:r>
            <w:r w:rsidRPr="00C000B2">
              <w:t xml:space="preserve"> vaccination coverage is highest for Pacific peoples at 97 percent, compared with 93 percent for the total population and 90 percent for Māori. Coverage has been declining steadily for Māori since 2018 (</w:t>
            </w:r>
            <w:r>
              <w:fldChar w:fldCharType="begin"/>
            </w:r>
            <w:r>
              <w:instrText xml:space="preserve"> REF _Ref94875055 \h </w:instrText>
            </w:r>
            <w:r>
              <w:fldChar w:fldCharType="separate"/>
            </w:r>
            <w:r w:rsidR="006E6019">
              <w:t>Figure </w:t>
            </w:r>
            <w:r w:rsidR="006E6019">
              <w:rPr>
                <w:noProof/>
              </w:rPr>
              <w:t>37</w:t>
            </w:r>
            <w:r>
              <w:fldChar w:fldCharType="end"/>
            </w:r>
            <w:r w:rsidRPr="00C000B2">
              <w:t>).</w:t>
            </w:r>
          </w:p>
        </w:tc>
      </w:tr>
    </w:tbl>
    <w:p w14:paraId="6A1A722F" w14:textId="77777777" w:rsidR="00043D21" w:rsidRPr="00C000B2" w:rsidRDefault="00043D21" w:rsidP="003C5278">
      <w:pPr>
        <w:spacing w:after="240"/>
      </w:pPr>
    </w:p>
    <w:p w14:paraId="139B71D5" w14:textId="77777777" w:rsidR="00EF27EC" w:rsidRPr="003C5278" w:rsidRDefault="003C5278" w:rsidP="003C5278">
      <w:pPr>
        <w:pStyle w:val="Figure"/>
        <w:rPr>
          <w:b w:val="0"/>
        </w:rPr>
      </w:pPr>
      <w:bookmarkStart w:id="222" w:name="Figure__37:_Hepatitis_B_vaccination_cove"/>
      <w:bookmarkStart w:id="223" w:name="_bookmark40"/>
      <w:bookmarkStart w:id="224" w:name="_Ref94875055"/>
      <w:bookmarkStart w:id="225" w:name="_Toc95059158"/>
      <w:bookmarkEnd w:id="222"/>
      <w:bookmarkEnd w:id="223"/>
      <w:r>
        <w:t>Figure </w:t>
      </w:r>
      <w:r w:rsidR="00F50B6E">
        <w:fldChar w:fldCharType="begin"/>
      </w:r>
      <w:r w:rsidR="00F50B6E">
        <w:instrText xml:space="preserve"> SEQ Figure \* ARABIC </w:instrText>
      </w:r>
      <w:r w:rsidR="00F50B6E">
        <w:fldChar w:fldCharType="separate"/>
      </w:r>
      <w:r w:rsidR="006E6019">
        <w:rPr>
          <w:noProof/>
        </w:rPr>
        <w:t>37</w:t>
      </w:r>
      <w:r w:rsidR="00F50B6E">
        <w:rPr>
          <w:noProof/>
        </w:rPr>
        <w:fldChar w:fldCharType="end"/>
      </w:r>
      <w:bookmarkEnd w:id="224"/>
      <w:r w:rsidR="00EF27EC" w:rsidRPr="00C000B2">
        <w:t xml:space="preserve">: </w:t>
      </w:r>
      <w:r w:rsidR="009278A9">
        <w:t>Hepatitis B</w:t>
      </w:r>
      <w:r w:rsidR="00EF27EC" w:rsidRPr="00C000B2">
        <w:t xml:space="preserve"> vaccination coverage at two years of age, by ethnicity, September 2016–June 2020</w:t>
      </w:r>
      <w:r w:rsidR="00EF27EC" w:rsidRPr="003C5278">
        <w:rPr>
          <w:b w:val="0"/>
          <w:vertAlign w:val="superscript"/>
        </w:rPr>
        <w:t>38</w:t>
      </w:r>
      <w:bookmarkEnd w:id="225"/>
    </w:p>
    <w:p w14:paraId="4D6ABC6A" w14:textId="77777777" w:rsidR="00EF27EC" w:rsidRPr="00C000B2" w:rsidRDefault="003C5278" w:rsidP="003C5278">
      <w:r>
        <w:rPr>
          <w:noProof/>
          <w:lang w:eastAsia="en-NZ"/>
        </w:rPr>
        <w:drawing>
          <wp:inline distT="0" distB="0" distL="0" distR="0" wp14:anchorId="6E22F703" wp14:editId="4E6B2AC5">
            <wp:extent cx="5130165" cy="1683335"/>
            <wp:effectExtent l="0" t="0" r="0" b="0"/>
            <wp:docPr id="1716" name="Picture 1716" title="Figure 37: Hepatitis B vaccination coverage at two years of age, by ethnicity, September 2016–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130165" cy="1683335"/>
                    </a:xfrm>
                    <a:prstGeom prst="rect">
                      <a:avLst/>
                    </a:prstGeom>
                  </pic:spPr>
                </pic:pic>
              </a:graphicData>
            </a:graphic>
          </wp:inline>
        </w:drawing>
      </w:r>
    </w:p>
    <w:p w14:paraId="12CB05A7" w14:textId="77777777" w:rsidR="00EF27EC" w:rsidRPr="00C000B2" w:rsidRDefault="00EF27EC" w:rsidP="003C5278"/>
    <w:p w14:paraId="11A494AA" w14:textId="77777777" w:rsidR="00EF27EC" w:rsidRPr="00C000B2" w:rsidRDefault="00EF27EC" w:rsidP="003C5278">
      <w:pPr>
        <w:keepNext/>
        <w:keepLines/>
      </w:pPr>
      <w:r w:rsidRPr="00C000B2">
        <w:lastRenderedPageBreak/>
        <w:t xml:space="preserve">Acute </w:t>
      </w:r>
      <w:r w:rsidR="009278A9">
        <w:t>hepatitis B</w:t>
      </w:r>
      <w:r w:rsidRPr="00C000B2">
        <w:t xml:space="preserve"> and C are notifiable; however, there is no active population surveillance for chronic </w:t>
      </w:r>
      <w:r w:rsidR="009278A9">
        <w:t>hepatitis B</w:t>
      </w:r>
      <w:r w:rsidRPr="00C000B2">
        <w:t xml:space="preserve"> and </w:t>
      </w:r>
      <w:r w:rsidR="009278A9">
        <w:t>hepatitis C</w:t>
      </w:r>
      <w:r w:rsidRPr="00C000B2">
        <w:t xml:space="preserve"> infections. An estimated 100,000 people in Aotearoa are living with chronic </w:t>
      </w:r>
      <w:r w:rsidR="009278A9">
        <w:t>hepatitis B</w:t>
      </w:r>
      <w:r w:rsidRPr="00C000B2">
        <w:t xml:space="preserve"> and 45,000 with chronic </w:t>
      </w:r>
      <w:r w:rsidR="009278A9">
        <w:t>hepatitis C</w:t>
      </w:r>
      <w:r w:rsidRPr="00C000B2">
        <w:t>.</w:t>
      </w:r>
      <w:r w:rsidRPr="003C5278">
        <w:rPr>
          <w:vertAlign w:val="superscript"/>
        </w:rPr>
        <w:t>411</w:t>
      </w:r>
      <w:r w:rsidRPr="00C000B2">
        <w:t xml:space="preserve"> As many infections are asymptomatic, it is estimated that at least 40</w:t>
      </w:r>
      <w:r w:rsidR="003C5278">
        <w:t> </w:t>
      </w:r>
      <w:r w:rsidRPr="00C000B2">
        <w:t xml:space="preserve">percent of people with chronic </w:t>
      </w:r>
      <w:r w:rsidR="009278A9">
        <w:t>hepatitis B</w:t>
      </w:r>
      <w:r w:rsidRPr="00C000B2">
        <w:t xml:space="preserve"> or C do not know they</w:t>
      </w:r>
      <w:r w:rsidR="003C5278">
        <w:t xml:space="preserve"> </w:t>
      </w:r>
      <w:r w:rsidRPr="00C000B2">
        <w:t xml:space="preserve">are infected. This equates to approximately 40,000 people with chronic </w:t>
      </w:r>
      <w:r w:rsidR="009278A9">
        <w:t>hepatitis B</w:t>
      </w:r>
      <w:r w:rsidRPr="00C000B2">
        <w:t xml:space="preserve"> and 18,000 people with chronic </w:t>
      </w:r>
      <w:r w:rsidR="009278A9">
        <w:t>hepatitis C</w:t>
      </w:r>
      <w:r w:rsidRPr="00C000B2">
        <w:t>.</w:t>
      </w:r>
      <w:r w:rsidRPr="003C5278">
        <w:rPr>
          <w:vertAlign w:val="superscript"/>
        </w:rPr>
        <w:t>394</w:t>
      </w:r>
      <w:r w:rsidRPr="00C000B2">
        <w:t xml:space="preserve"> In 2015, the WHO estimated the prevalence of chronic </w:t>
      </w:r>
      <w:r w:rsidR="009278A9">
        <w:t>hepatitis B</w:t>
      </w:r>
      <w:r w:rsidRPr="00C000B2">
        <w:t xml:space="preserve"> infection in Aotearoa was 4 percent.</w:t>
      </w:r>
      <w:r w:rsidRPr="003C5278">
        <w:rPr>
          <w:vertAlign w:val="superscript"/>
        </w:rPr>
        <w:t>412</w:t>
      </w:r>
      <w:r w:rsidRPr="00C000B2">
        <w:t xml:space="preserve"> This is broadly consistent with estimates from a North Island screening programme between 1999 and 2002, which found an overall prevalence of chronic </w:t>
      </w:r>
      <w:r w:rsidR="009278A9">
        <w:t>hepatitis B</w:t>
      </w:r>
      <w:r w:rsidRPr="00C000B2">
        <w:t xml:space="preserve"> of 5.7 percent.</w:t>
      </w:r>
      <w:r w:rsidRPr="003C5278">
        <w:rPr>
          <w:vertAlign w:val="superscript"/>
        </w:rPr>
        <w:t>413</w:t>
      </w:r>
    </w:p>
    <w:p w14:paraId="71E7EBB0" w14:textId="77777777" w:rsidR="00EF27EC" w:rsidRDefault="00EF27EC" w:rsidP="003C5278">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043D21" w14:paraId="7490A2C4" w14:textId="77777777" w:rsidTr="00047D6F">
        <w:trPr>
          <w:cantSplit/>
        </w:trPr>
        <w:tc>
          <w:tcPr>
            <w:tcW w:w="426" w:type="dxa"/>
            <w:tcBorders>
              <w:right w:val="single" w:sz="48" w:space="0" w:color="FFFFFF" w:themeColor="background1"/>
            </w:tcBorders>
            <w:shd w:val="clear" w:color="auto" w:fill="F37973"/>
          </w:tcPr>
          <w:p w14:paraId="6949A609" w14:textId="77777777" w:rsidR="00043D21" w:rsidRDefault="00043D21" w:rsidP="00047D6F"/>
        </w:tc>
        <w:tc>
          <w:tcPr>
            <w:tcW w:w="7371" w:type="dxa"/>
          </w:tcPr>
          <w:p w14:paraId="4973A513" w14:textId="77777777" w:rsidR="00043D21" w:rsidRDefault="003C5278" w:rsidP="003C5278">
            <w:pPr>
              <w:pStyle w:val="TableText"/>
            </w:pPr>
            <w:r w:rsidRPr="00C000B2">
              <w:t xml:space="preserve">Māori, Pacific </w:t>
            </w:r>
            <w:proofErr w:type="gramStart"/>
            <w:r w:rsidRPr="00C000B2">
              <w:t>peoples</w:t>
            </w:r>
            <w:proofErr w:type="gramEnd"/>
            <w:r w:rsidRPr="00C000B2">
              <w:t xml:space="preserve"> and Asian populations experience higher rates of chronic </w:t>
            </w:r>
            <w:r w:rsidR="009278A9">
              <w:t>hepatitis B</w:t>
            </w:r>
            <w:r w:rsidRPr="00C000B2">
              <w:t xml:space="preserve"> infection than European New Zealanders.</w:t>
            </w:r>
            <w:r w:rsidRPr="003C5278">
              <w:rPr>
                <w:vertAlign w:val="superscript"/>
              </w:rPr>
              <w:t>413</w:t>
            </w:r>
            <w:r w:rsidRPr="00C000B2">
              <w:t xml:space="preserve"> The ethnic distribution of chronic </w:t>
            </w:r>
            <w:r w:rsidR="009278A9">
              <w:t>hepatitis C</w:t>
            </w:r>
            <w:r w:rsidRPr="00C000B2">
              <w:t xml:space="preserve"> is unknown; however, emerging evidence suggests that prevalence is likely to be higher in Māori compared with other ethnicities.</w:t>
            </w:r>
            <w:r w:rsidRPr="003C5278">
              <w:rPr>
                <w:vertAlign w:val="superscript"/>
              </w:rPr>
              <w:t>414</w:t>
            </w:r>
            <w:r w:rsidRPr="00C000B2">
              <w:t xml:space="preserve"> Chronic infection is likely to be rare in New Zealanders aged under 30 years.</w:t>
            </w:r>
            <w:r w:rsidRPr="003C5278">
              <w:rPr>
                <w:vertAlign w:val="superscript"/>
              </w:rPr>
              <w:t>415</w:t>
            </w:r>
          </w:p>
        </w:tc>
      </w:tr>
    </w:tbl>
    <w:p w14:paraId="6BC12360" w14:textId="77777777" w:rsidR="00043D21" w:rsidRPr="00C000B2" w:rsidRDefault="00043D21" w:rsidP="003C5278">
      <w:pPr>
        <w:spacing w:after="240"/>
      </w:pPr>
    </w:p>
    <w:p w14:paraId="6B77028C" w14:textId="77777777" w:rsidR="00EF27EC" w:rsidRPr="00C000B2" w:rsidRDefault="00EF27EC" w:rsidP="003C5278">
      <w:pPr>
        <w:pStyle w:val="Heading3"/>
      </w:pPr>
      <w:r w:rsidRPr="00C000B2">
        <w:t>HIV infection</w:t>
      </w:r>
    </w:p>
    <w:p w14:paraId="4FA9AB9F" w14:textId="77777777" w:rsidR="00EF27EC" w:rsidRPr="00C000B2" w:rsidRDefault="00EF27EC" w:rsidP="003C5278">
      <w:r w:rsidRPr="00C000B2">
        <w:t>HIV is spread through exposure to infected blood and body fluids. It is transmitted through sexual activity, sharing contaminated injecting equipment, through transfusion of infected blood or blood components and the transplantation of infected tissue or organs. In Aotearoa transmission is largely concentrated among men who have sex with men (MSM) and individuals infected heterosexually from overseas.416 It was estimated that in 2011, 20 percent of people with HIV in Aotearoa may be unaware of their status.</w:t>
      </w:r>
      <w:r w:rsidRPr="003C5278">
        <w:rPr>
          <w:vertAlign w:val="superscript"/>
        </w:rPr>
        <w:t>417</w:t>
      </w:r>
    </w:p>
    <w:p w14:paraId="3B29C8DB" w14:textId="77777777" w:rsidR="00EF27EC" w:rsidRPr="00C000B2" w:rsidRDefault="00EF27EC" w:rsidP="003C5278"/>
    <w:p w14:paraId="4D0B4815" w14:textId="77777777" w:rsidR="00EF27EC" w:rsidRPr="00C000B2" w:rsidRDefault="00EF27EC" w:rsidP="003C5278">
      <w:r w:rsidRPr="00C000B2">
        <w:t>In Aotearoa, AIDS has been a notifiable condition since 1983, while HIV became notifiable in 2017. The burden of HIV remains relatively low in Aotearoa. The number of people diagnosed with HIV in Aotearoa has been steadily decreasing since 2016, especially among MSM. In 2020, 162 people were notified with HIV. MSM continue to be disproportionately affected by HIV and were over 79 percent of all new cases acquired locally in 2020.</w:t>
      </w:r>
      <w:r w:rsidRPr="003C5278">
        <w:rPr>
          <w:vertAlign w:val="superscript"/>
        </w:rPr>
        <w:t>418</w:t>
      </w:r>
    </w:p>
    <w:p w14:paraId="44D93541" w14:textId="77777777" w:rsidR="00EF27EC" w:rsidRPr="00C000B2" w:rsidRDefault="00EF27EC" w:rsidP="003C5278"/>
    <w:p w14:paraId="5BDCE078" w14:textId="77777777" w:rsidR="00EF27EC" w:rsidRPr="00C000B2" w:rsidRDefault="00EF27EC" w:rsidP="003C5278">
      <w:r w:rsidRPr="00C000B2">
        <w:t>Although there is no cure for HIV, current antiretroviral therapy (ART) treatment regimens are able to effectively suppress viral replication and limit transmission, especially if treatment is started as soon as possible after diagnosis.</w:t>
      </w:r>
      <w:r w:rsidRPr="003C5278">
        <w:rPr>
          <w:vertAlign w:val="superscript"/>
        </w:rPr>
        <w:t>419</w:t>
      </w:r>
      <w:r w:rsidRPr="00C000B2">
        <w:t xml:space="preserve"> In Aotearoa, treatment is subsidised for anyone diagnosed with HIV and in 2020, over 2800 people were receiving treatment for HIV.</w:t>
      </w:r>
      <w:r w:rsidRPr="003C5278">
        <w:rPr>
          <w:vertAlign w:val="superscript"/>
        </w:rPr>
        <w:t>418</w:t>
      </w:r>
    </w:p>
    <w:p w14:paraId="439C3DFA" w14:textId="77777777" w:rsidR="00EF27EC" w:rsidRPr="00C000B2" w:rsidRDefault="00EF27EC" w:rsidP="003C5278"/>
    <w:p w14:paraId="5C026640" w14:textId="77777777" w:rsidR="00EF27EC" w:rsidRPr="00C000B2" w:rsidRDefault="00EF27EC" w:rsidP="000546DD">
      <w:pPr>
        <w:pStyle w:val="Heading2"/>
      </w:pPr>
      <w:bookmarkStart w:id="226" w:name="How_can_we_prevent_cancers_related_to_ch"/>
      <w:bookmarkStart w:id="227" w:name="_bookmark41"/>
      <w:bookmarkStart w:id="228" w:name="_Toc95742671"/>
      <w:bookmarkEnd w:id="226"/>
      <w:bookmarkEnd w:id="227"/>
      <w:r w:rsidRPr="00C000B2">
        <w:lastRenderedPageBreak/>
        <w:t>How can we prevent cancers related to chronic infections?</w:t>
      </w:r>
      <w:bookmarkEnd w:id="228"/>
    </w:p>
    <w:p w14:paraId="63199B8F" w14:textId="77777777" w:rsidR="00EF27EC" w:rsidRPr="00C000B2" w:rsidRDefault="00EF27EC" w:rsidP="003C5278">
      <w:pPr>
        <w:keepNext/>
        <w:keepLines/>
      </w:pPr>
      <w:r w:rsidRPr="00C000B2">
        <w:t>Reducing the burden of cancers related to chronic infections requires both primary prevention and secondary prevention strategies. The primary prevention actions are aimed at preventing an</w:t>
      </w:r>
      <w:r w:rsidR="003C5278">
        <w:t xml:space="preserve"> </w:t>
      </w:r>
      <w:r w:rsidRPr="00C000B2">
        <w:t>infection before it ever occurs, whereas secondary prevention involves intervening early to manage the chronic infection with the aim of preventing progression to cancer.</w:t>
      </w:r>
    </w:p>
    <w:p w14:paraId="6871B5E2" w14:textId="77777777" w:rsidR="00EF27EC" w:rsidRPr="00C000B2" w:rsidRDefault="00EF27EC" w:rsidP="003C5278"/>
    <w:p w14:paraId="6D5B7F62" w14:textId="77777777" w:rsidR="00EF27EC" w:rsidRPr="00C000B2" w:rsidRDefault="00EF27EC" w:rsidP="00B42B50">
      <w:r w:rsidRPr="00C000B2">
        <w:t>The following evidence-based recommendations are considered most likely to reduce exposure to chronic infections and ultimately reduce cancer risk. They are in line with recommendations</w:t>
      </w:r>
      <w:r w:rsidR="003C5278">
        <w:t xml:space="preserve"> </w:t>
      </w:r>
      <w:r w:rsidRPr="00C000B2">
        <w:t>from the World Health Organization and major national and international experts and researchers.</w:t>
      </w:r>
      <w:r w:rsidR="003C5278">
        <w:t xml:space="preserve"> </w:t>
      </w:r>
      <w:r w:rsidRPr="00C000B2">
        <w:t xml:space="preserve">The interventions addressing </w:t>
      </w:r>
      <w:r w:rsidR="009278A9">
        <w:t>hepatitis B</w:t>
      </w:r>
      <w:r w:rsidRPr="00C000B2">
        <w:t xml:space="preserve"> and C broadly align with the recommendations set out in the WHO’s </w:t>
      </w:r>
      <w:r w:rsidRPr="00C000B2">
        <w:rPr>
          <w:i/>
        </w:rPr>
        <w:t>Global Health Sector Strategy on Viral Hepatitis 2016–21</w:t>
      </w:r>
      <w:r w:rsidRPr="00B42B50">
        <w:rPr>
          <w:vertAlign w:val="superscript"/>
        </w:rPr>
        <w:t>420</w:t>
      </w:r>
      <w:r w:rsidRPr="00C000B2">
        <w:t xml:space="preserve"> adopted by Aotearoa, as well as with the recent </w:t>
      </w:r>
      <w:r w:rsidRPr="00C000B2">
        <w:rPr>
          <w:i/>
        </w:rPr>
        <w:t xml:space="preserve">National </w:t>
      </w:r>
      <w:r w:rsidR="009278A9">
        <w:rPr>
          <w:i/>
        </w:rPr>
        <w:t>Hepatitis C</w:t>
      </w:r>
      <w:r w:rsidRPr="00C000B2">
        <w:rPr>
          <w:i/>
        </w:rPr>
        <w:t xml:space="preserve"> Action Plan for Aotearoa New Zealand</w:t>
      </w:r>
      <w:r w:rsidRPr="00C000B2">
        <w:t xml:space="preserve">, which has the overarching goal of eliminating </w:t>
      </w:r>
      <w:r w:rsidR="009278A9">
        <w:t>hepatitis C</w:t>
      </w:r>
      <w:r w:rsidRPr="00C000B2">
        <w:t xml:space="preserve"> as a major public health threat by 2030.</w:t>
      </w:r>
      <w:r w:rsidRPr="00B42B50">
        <w:rPr>
          <w:vertAlign w:val="superscript"/>
        </w:rPr>
        <w:t>414</w:t>
      </w:r>
      <w:r w:rsidRPr="00C000B2">
        <w:t xml:space="preserve"> Although screening programmes are beyond the scope of this report, the change to HPV primary screening (with the option of self-testing) within the national cervical screening programme will be a significant step, alongside HPV immunisation, towards eliminating cervical cancer.</w:t>
      </w:r>
      <w:r w:rsidRPr="00B42B50">
        <w:rPr>
          <w:vertAlign w:val="superscript"/>
        </w:rPr>
        <w:t>421,</w:t>
      </w:r>
      <w:r w:rsidR="00B42B50" w:rsidRPr="00B42B50">
        <w:rPr>
          <w:vertAlign w:val="superscript"/>
        </w:rPr>
        <w:t> </w:t>
      </w:r>
      <w:r w:rsidRPr="00B42B50">
        <w:rPr>
          <w:vertAlign w:val="superscript"/>
        </w:rPr>
        <w:t>422</w:t>
      </w:r>
    </w:p>
    <w:p w14:paraId="6A32BC19" w14:textId="77777777" w:rsidR="00EF27EC" w:rsidRDefault="00EF27EC" w:rsidP="00B42B50">
      <w:pPr>
        <w:spacing w:after="240"/>
      </w:pP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F0"/>
        <w:tblLayout w:type="fixed"/>
        <w:tblCellMar>
          <w:left w:w="57" w:type="dxa"/>
          <w:right w:w="57" w:type="dxa"/>
        </w:tblCellMar>
        <w:tblLook w:val="04A0" w:firstRow="1" w:lastRow="0" w:firstColumn="1" w:lastColumn="0" w:noHBand="0" w:noVBand="1"/>
      </w:tblPr>
      <w:tblGrid>
        <w:gridCol w:w="8295"/>
      </w:tblGrid>
      <w:tr w:rsidR="00B42B50" w:rsidRPr="00B42B50" w14:paraId="05B8D1C0" w14:textId="77777777" w:rsidTr="00047D6F">
        <w:trPr>
          <w:cantSplit/>
        </w:trPr>
        <w:tc>
          <w:tcPr>
            <w:tcW w:w="8295" w:type="dxa"/>
            <w:tcBorders>
              <w:bottom w:val="single" w:sz="12" w:space="0" w:color="22B893"/>
            </w:tcBorders>
            <w:shd w:val="clear" w:color="auto" w:fill="EAF5F0"/>
          </w:tcPr>
          <w:p w14:paraId="376701B2" w14:textId="77777777" w:rsidR="00B42B50" w:rsidRPr="00B42B50" w:rsidRDefault="00B42B50" w:rsidP="00047D6F">
            <w:pPr>
              <w:pStyle w:val="TableText"/>
              <w:keepNext/>
              <w:spacing w:before="120"/>
              <w:rPr>
                <w:b/>
                <w:sz w:val="20"/>
              </w:rPr>
            </w:pPr>
            <w:r w:rsidRPr="00B42B50">
              <w:rPr>
                <w:b/>
                <w:sz w:val="20"/>
              </w:rPr>
              <w:t>Primary prevention recommendations</w:t>
            </w:r>
          </w:p>
        </w:tc>
      </w:tr>
      <w:tr w:rsidR="00B42B50" w14:paraId="77E76DC3" w14:textId="77777777" w:rsidTr="00047D6F">
        <w:trPr>
          <w:cantSplit/>
        </w:trPr>
        <w:tc>
          <w:tcPr>
            <w:tcW w:w="8295" w:type="dxa"/>
            <w:tcBorders>
              <w:top w:val="single" w:sz="12" w:space="0" w:color="22B893"/>
            </w:tcBorders>
            <w:shd w:val="clear" w:color="auto" w:fill="EAF5F0"/>
          </w:tcPr>
          <w:p w14:paraId="1E535C30" w14:textId="77777777" w:rsidR="00B42B50" w:rsidRPr="00C000B2" w:rsidRDefault="00B42B50" w:rsidP="00B42B50">
            <w:pPr>
              <w:pStyle w:val="TableBullet"/>
              <w:spacing w:before="120"/>
            </w:pPr>
            <w:r w:rsidRPr="00C000B2">
              <w:t>Prevent exposure to conditions that increase the risk of acquiring and transmitting infections (</w:t>
            </w:r>
            <w:r w:rsidRPr="00C000B2">
              <w:rPr>
                <w:i/>
              </w:rPr>
              <w:t>H. pylori</w:t>
            </w:r>
            <w:r w:rsidRPr="00C000B2">
              <w:t>).</w:t>
            </w:r>
          </w:p>
          <w:p w14:paraId="7F046211" w14:textId="77777777" w:rsidR="00B42B50" w:rsidRPr="00C000B2" w:rsidRDefault="00B42B50" w:rsidP="00B42B50">
            <w:pPr>
              <w:pStyle w:val="TableDash"/>
            </w:pPr>
            <w:r w:rsidRPr="00C000B2">
              <w:t>Reduce child poverty.</w:t>
            </w:r>
          </w:p>
          <w:p w14:paraId="66333510" w14:textId="77777777" w:rsidR="00B42B50" w:rsidRPr="00C000B2" w:rsidRDefault="00B42B50" w:rsidP="00B42B50">
            <w:pPr>
              <w:pStyle w:val="TableDash"/>
            </w:pPr>
            <w:r w:rsidRPr="00C000B2">
              <w:t>Reduce children’s exposure to household crowding.</w:t>
            </w:r>
          </w:p>
          <w:p w14:paraId="55878FA3" w14:textId="77777777" w:rsidR="00B42B50" w:rsidRPr="00C000B2" w:rsidRDefault="00B42B50" w:rsidP="00B42B50">
            <w:pPr>
              <w:pStyle w:val="TableBullet"/>
            </w:pPr>
            <w:r w:rsidRPr="00C000B2">
              <w:t xml:space="preserve">Reduce risk of transmission of infection through contaminated blood and body fluids (HPV, </w:t>
            </w:r>
            <w:r w:rsidR="009278A9">
              <w:t>hepatitis B</w:t>
            </w:r>
            <w:r w:rsidRPr="00C000B2">
              <w:t xml:space="preserve"> and C, HIV).</w:t>
            </w:r>
          </w:p>
          <w:p w14:paraId="4C9E3E79" w14:textId="77777777" w:rsidR="00B42B50" w:rsidRPr="00C000B2" w:rsidRDefault="00B42B50" w:rsidP="00B42B50">
            <w:pPr>
              <w:pStyle w:val="TableDash"/>
            </w:pPr>
            <w:r w:rsidRPr="00C000B2">
              <w:t>Promote safe sex practices such as consistent condom use.</w:t>
            </w:r>
          </w:p>
          <w:p w14:paraId="6DCF9520" w14:textId="77777777" w:rsidR="00B42B50" w:rsidRPr="00C000B2" w:rsidRDefault="00B42B50" w:rsidP="00B42B50">
            <w:pPr>
              <w:pStyle w:val="TableDash"/>
            </w:pPr>
            <w:r w:rsidRPr="00C000B2">
              <w:t>Prevent transmission through transfusion of contaminated blood products.</w:t>
            </w:r>
          </w:p>
          <w:p w14:paraId="4F98DF6A" w14:textId="77777777" w:rsidR="00B42B50" w:rsidRPr="00C000B2" w:rsidRDefault="00B42B50" w:rsidP="00B42B50">
            <w:pPr>
              <w:pStyle w:val="TableDash"/>
            </w:pPr>
            <w:r w:rsidRPr="00C000B2">
              <w:t>Ensure appropriate infection control practices for blood-prone procedures.</w:t>
            </w:r>
          </w:p>
          <w:p w14:paraId="36BFC9D6" w14:textId="77777777" w:rsidR="00B42B50" w:rsidRPr="00C000B2" w:rsidRDefault="00B42B50" w:rsidP="00B42B50">
            <w:pPr>
              <w:pStyle w:val="TableDash"/>
            </w:pPr>
            <w:r w:rsidRPr="00C000B2">
              <w:t>Ensure access to safe injecting for people who inject drugs.</w:t>
            </w:r>
          </w:p>
          <w:p w14:paraId="76AEF8E5" w14:textId="77777777" w:rsidR="00B42B50" w:rsidRPr="00C000B2" w:rsidRDefault="00B42B50" w:rsidP="00B42B50">
            <w:pPr>
              <w:pStyle w:val="TableBullet"/>
            </w:pPr>
            <w:r w:rsidRPr="00C000B2">
              <w:t xml:space="preserve">Ensure equitable access to immunisation against HPV and </w:t>
            </w:r>
            <w:r w:rsidR="009278A9">
              <w:t>hepatitis B</w:t>
            </w:r>
            <w:r w:rsidRPr="00C000B2">
              <w:t>.</w:t>
            </w:r>
          </w:p>
          <w:p w14:paraId="318F6772" w14:textId="77777777" w:rsidR="00B42B50" w:rsidRPr="00C000B2" w:rsidRDefault="00B42B50" w:rsidP="00B42B50">
            <w:pPr>
              <w:pStyle w:val="TableDash"/>
            </w:pPr>
            <w:r w:rsidRPr="00C000B2">
              <w:t>Ensure equitable HPV immunisation coverage for all population groups.</w:t>
            </w:r>
          </w:p>
          <w:p w14:paraId="65805CCC" w14:textId="77777777" w:rsidR="00B42B50" w:rsidRPr="00C000B2" w:rsidRDefault="00B42B50" w:rsidP="00B42B50">
            <w:pPr>
              <w:pStyle w:val="TableDash"/>
            </w:pPr>
            <w:r w:rsidRPr="00C000B2">
              <w:t xml:space="preserve">Ensure equitable </w:t>
            </w:r>
            <w:r w:rsidR="009278A9">
              <w:t>hepatitis B</w:t>
            </w:r>
            <w:r w:rsidRPr="00C000B2">
              <w:t xml:space="preserve"> immunisation coverage for all population groups.</w:t>
            </w:r>
          </w:p>
          <w:p w14:paraId="0874FCE4" w14:textId="77777777" w:rsidR="00B42B50" w:rsidRPr="00C000B2" w:rsidRDefault="00B42B50" w:rsidP="00B42B50">
            <w:pPr>
              <w:pStyle w:val="TableBullet"/>
            </w:pPr>
            <w:r w:rsidRPr="00C000B2">
              <w:t>Ensure equitable access to pre-exposure and post-exposure prophylaxis for HIV</w:t>
            </w:r>
          </w:p>
          <w:p w14:paraId="0B167732" w14:textId="77777777" w:rsidR="00B42B50" w:rsidRDefault="00B42B50" w:rsidP="00B42B50">
            <w:pPr>
              <w:pStyle w:val="TableDash"/>
            </w:pPr>
            <w:r w:rsidRPr="00C000B2">
              <w:t>Ensure equitable access to pre-exposure and post-exposure prophylaxis for HIV.</w:t>
            </w:r>
          </w:p>
        </w:tc>
      </w:tr>
    </w:tbl>
    <w:p w14:paraId="046ABF50" w14:textId="77777777" w:rsidR="00B42B50" w:rsidRDefault="00B42B50" w:rsidP="00B42B50">
      <w:pPr>
        <w:spacing w:after="240"/>
      </w:pP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5F0"/>
        <w:tblLayout w:type="fixed"/>
        <w:tblCellMar>
          <w:left w:w="57" w:type="dxa"/>
          <w:right w:w="57" w:type="dxa"/>
        </w:tblCellMar>
        <w:tblLook w:val="04A0" w:firstRow="1" w:lastRow="0" w:firstColumn="1" w:lastColumn="0" w:noHBand="0" w:noVBand="1"/>
      </w:tblPr>
      <w:tblGrid>
        <w:gridCol w:w="8295"/>
      </w:tblGrid>
      <w:tr w:rsidR="00B42B50" w:rsidRPr="00B42B50" w14:paraId="673A0DB7" w14:textId="77777777" w:rsidTr="00047D6F">
        <w:trPr>
          <w:cantSplit/>
        </w:trPr>
        <w:tc>
          <w:tcPr>
            <w:tcW w:w="8295" w:type="dxa"/>
            <w:tcBorders>
              <w:bottom w:val="single" w:sz="12" w:space="0" w:color="22B893"/>
            </w:tcBorders>
            <w:shd w:val="clear" w:color="auto" w:fill="EAF5F0"/>
          </w:tcPr>
          <w:p w14:paraId="0E3A2214" w14:textId="77777777" w:rsidR="00B42B50" w:rsidRPr="00B42B50" w:rsidRDefault="00B42B50" w:rsidP="00B42B50">
            <w:pPr>
              <w:pStyle w:val="TableText"/>
              <w:keepNext/>
              <w:spacing w:before="120"/>
              <w:rPr>
                <w:b/>
                <w:sz w:val="20"/>
              </w:rPr>
            </w:pPr>
            <w:r>
              <w:rPr>
                <w:b/>
                <w:sz w:val="20"/>
              </w:rPr>
              <w:lastRenderedPageBreak/>
              <w:t xml:space="preserve">Secondary </w:t>
            </w:r>
            <w:r w:rsidRPr="00B42B50">
              <w:rPr>
                <w:b/>
                <w:sz w:val="20"/>
              </w:rPr>
              <w:t>prevention recommendations</w:t>
            </w:r>
          </w:p>
        </w:tc>
      </w:tr>
      <w:tr w:rsidR="00B42B50" w14:paraId="586DA2FE" w14:textId="77777777" w:rsidTr="00047D6F">
        <w:trPr>
          <w:cantSplit/>
        </w:trPr>
        <w:tc>
          <w:tcPr>
            <w:tcW w:w="8295" w:type="dxa"/>
            <w:tcBorders>
              <w:top w:val="single" w:sz="12" w:space="0" w:color="22B893"/>
            </w:tcBorders>
            <w:shd w:val="clear" w:color="auto" w:fill="EAF5F0"/>
          </w:tcPr>
          <w:p w14:paraId="392D0504" w14:textId="77777777" w:rsidR="00B42B50" w:rsidRPr="00C000B2" w:rsidRDefault="00B42B50" w:rsidP="00B42B50">
            <w:pPr>
              <w:pStyle w:val="TableBullet"/>
              <w:spacing w:before="120"/>
            </w:pPr>
            <w:r w:rsidRPr="00C000B2">
              <w:t>Improve identification of individuals with cancer causing chronic infections to facilitate access to treatment and ongoing medical care.</w:t>
            </w:r>
          </w:p>
          <w:p w14:paraId="0F2634A3" w14:textId="77777777" w:rsidR="00B42B50" w:rsidRPr="00C000B2" w:rsidRDefault="00B42B50" w:rsidP="00B42B50">
            <w:pPr>
              <w:pStyle w:val="TableDash"/>
            </w:pPr>
            <w:r w:rsidRPr="00C000B2">
              <w:t xml:space="preserve">Screen all pregnant women for chronic </w:t>
            </w:r>
            <w:r w:rsidR="009278A9">
              <w:t>hepatitis B</w:t>
            </w:r>
            <w:r w:rsidRPr="00C000B2">
              <w:t xml:space="preserve"> infection and </w:t>
            </w:r>
            <w:proofErr w:type="gramStart"/>
            <w:r w:rsidRPr="00C000B2">
              <w:t>HIV, and</w:t>
            </w:r>
            <w:proofErr w:type="gramEnd"/>
            <w:r w:rsidRPr="00C000B2">
              <w:t xml:space="preserve"> provide appropriate treatment to mother and baby.</w:t>
            </w:r>
          </w:p>
          <w:p w14:paraId="47BDFDF2" w14:textId="77777777" w:rsidR="00B42B50" w:rsidRPr="00C000B2" w:rsidRDefault="00B42B50" w:rsidP="00B42B50">
            <w:pPr>
              <w:pStyle w:val="TableDash"/>
            </w:pPr>
            <w:r w:rsidRPr="00C000B2">
              <w:t xml:space="preserve">Improve how individuals with chronic </w:t>
            </w:r>
            <w:r w:rsidR="009278A9">
              <w:t>hepatitis B</w:t>
            </w:r>
            <w:r w:rsidRPr="00C000B2">
              <w:t xml:space="preserve"> infection can be identified, treated, </w:t>
            </w:r>
            <w:proofErr w:type="gramStart"/>
            <w:r w:rsidRPr="00C000B2">
              <w:t>monitored</w:t>
            </w:r>
            <w:proofErr w:type="gramEnd"/>
            <w:r w:rsidRPr="00C000B2">
              <w:t xml:space="preserve"> and followed up.</w:t>
            </w:r>
          </w:p>
          <w:p w14:paraId="5EC4179C" w14:textId="77777777" w:rsidR="00B42B50" w:rsidRPr="00C000B2" w:rsidRDefault="00B42B50" w:rsidP="00B42B50">
            <w:pPr>
              <w:pStyle w:val="TableDash"/>
            </w:pPr>
            <w:r w:rsidRPr="00C000B2">
              <w:t xml:space="preserve">Improve how individuals with chronic </w:t>
            </w:r>
            <w:r w:rsidR="009278A9">
              <w:t>hepatitis C</w:t>
            </w:r>
            <w:r w:rsidRPr="00C000B2">
              <w:t xml:space="preserve"> infection can be identified, treated, </w:t>
            </w:r>
            <w:proofErr w:type="gramStart"/>
            <w:r w:rsidRPr="00C000B2">
              <w:t>monitored</w:t>
            </w:r>
            <w:proofErr w:type="gramEnd"/>
            <w:r w:rsidRPr="00C000B2">
              <w:t xml:space="preserve"> and followed up.</w:t>
            </w:r>
          </w:p>
          <w:p w14:paraId="23CAAEB0" w14:textId="77777777" w:rsidR="00B42B50" w:rsidRPr="00C000B2" w:rsidRDefault="00B42B50" w:rsidP="00B42B50">
            <w:pPr>
              <w:pStyle w:val="TableDash"/>
            </w:pPr>
            <w:r w:rsidRPr="00C000B2">
              <w:t xml:space="preserve">Improve how individuals with </w:t>
            </w:r>
            <w:r w:rsidRPr="00C000B2">
              <w:rPr>
                <w:i/>
              </w:rPr>
              <w:t xml:space="preserve">H. pylori </w:t>
            </w:r>
            <w:r w:rsidRPr="00C000B2">
              <w:t>infection can be identified and treated.</w:t>
            </w:r>
          </w:p>
          <w:p w14:paraId="319C68CF" w14:textId="77777777" w:rsidR="00B42B50" w:rsidRDefault="00B42B50" w:rsidP="00B42B50">
            <w:pPr>
              <w:pStyle w:val="TableDash"/>
            </w:pPr>
            <w:r w:rsidRPr="00C000B2">
              <w:t xml:space="preserve">Improve how individuals with HIV can be identified, treated, </w:t>
            </w:r>
            <w:proofErr w:type="gramStart"/>
            <w:r w:rsidRPr="00C000B2">
              <w:t>monitored</w:t>
            </w:r>
            <w:proofErr w:type="gramEnd"/>
            <w:r w:rsidRPr="00C000B2">
              <w:t xml:space="preserve"> and followed up.</w:t>
            </w:r>
          </w:p>
        </w:tc>
      </w:tr>
    </w:tbl>
    <w:p w14:paraId="0112C34B" w14:textId="77777777" w:rsidR="00B42B50" w:rsidRPr="00C000B2" w:rsidRDefault="00B42B50" w:rsidP="00B42B50">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18273928" w14:textId="77777777" w:rsidTr="00351028">
        <w:trPr>
          <w:cantSplit/>
        </w:trPr>
        <w:tc>
          <w:tcPr>
            <w:tcW w:w="426" w:type="dxa"/>
            <w:tcBorders>
              <w:right w:val="single" w:sz="48" w:space="0" w:color="FFFFFF" w:themeColor="background1"/>
            </w:tcBorders>
            <w:shd w:val="clear" w:color="auto" w:fill="22B893"/>
          </w:tcPr>
          <w:p w14:paraId="47DABFA1" w14:textId="77777777" w:rsidR="00990345" w:rsidRDefault="00990345" w:rsidP="00351028"/>
        </w:tc>
        <w:tc>
          <w:tcPr>
            <w:tcW w:w="7371" w:type="dxa"/>
            <w:gridSpan w:val="2"/>
          </w:tcPr>
          <w:p w14:paraId="2DF663D9" w14:textId="77777777" w:rsidR="00990345" w:rsidRPr="00B16FAF" w:rsidRDefault="00990345" w:rsidP="00351028">
            <w:pPr>
              <w:pStyle w:val="TableText"/>
              <w:rPr>
                <w:sz w:val="22"/>
                <w:szCs w:val="22"/>
              </w:rPr>
            </w:pPr>
            <w:r w:rsidRPr="0029210A">
              <w:rPr>
                <w:b/>
                <w:sz w:val="22"/>
                <w:szCs w:val="22"/>
              </w:rPr>
              <w:t xml:space="preserve">Focus area: </w:t>
            </w:r>
            <w:r w:rsidR="00B16FAF" w:rsidRPr="00B16FAF">
              <w:rPr>
                <w:sz w:val="22"/>
                <w:szCs w:val="22"/>
              </w:rPr>
              <w:t xml:space="preserve">Prevent exposure to conditions that increase the risk of acquiring and transmitting infections (primary prevention – </w:t>
            </w:r>
            <w:r w:rsidR="00B16FAF" w:rsidRPr="00B16FAF">
              <w:rPr>
                <w:i/>
                <w:sz w:val="22"/>
                <w:szCs w:val="22"/>
              </w:rPr>
              <w:t>H. pylori</w:t>
            </w:r>
            <w:r w:rsidR="00B16FAF" w:rsidRPr="00B16FAF">
              <w:rPr>
                <w:sz w:val="22"/>
                <w:szCs w:val="22"/>
              </w:rPr>
              <w:t>)</w:t>
            </w:r>
          </w:p>
          <w:p w14:paraId="60615166" w14:textId="77777777" w:rsidR="00B16FAF" w:rsidRPr="00B16FAF" w:rsidRDefault="00B16FAF" w:rsidP="00B16FAF">
            <w:pPr>
              <w:pStyle w:val="TableText"/>
              <w:rPr>
                <w:sz w:val="20"/>
              </w:rPr>
            </w:pPr>
            <w:r w:rsidRPr="00B16FAF">
              <w:rPr>
                <w:sz w:val="20"/>
              </w:rPr>
              <w:t>What is the impact of poverty and household crowding on acquiring and transmitting infections?</w:t>
            </w:r>
          </w:p>
          <w:p w14:paraId="107CA088" w14:textId="77777777" w:rsidR="00990345" w:rsidRDefault="00B16FAF" w:rsidP="00B16FAF">
            <w:pPr>
              <w:pStyle w:val="TableText"/>
            </w:pPr>
            <w:r w:rsidRPr="00C000B2">
              <w:t>Poverty and household crowding are strongly linked to a higher risk of many infectious diseases, particularly those spread through close person-to-person contact.</w:t>
            </w:r>
            <w:r w:rsidRPr="00B16FAF">
              <w:rPr>
                <w:vertAlign w:val="superscript"/>
              </w:rPr>
              <w:t>405, 423–425</w:t>
            </w:r>
            <w:r w:rsidRPr="00C000B2">
              <w:t xml:space="preserve"> In Aotearoa, an estimated 10 percent of hospital admissions each year are due to household crowding.</w:t>
            </w:r>
            <w:r w:rsidRPr="00B16FAF">
              <w:rPr>
                <w:vertAlign w:val="superscript"/>
              </w:rPr>
              <w:t>405</w:t>
            </w:r>
            <w:r w:rsidRPr="00C000B2">
              <w:t xml:space="preserve"> Children are the most</w:t>
            </w:r>
            <w:r>
              <w:t xml:space="preserve"> </w:t>
            </w:r>
            <w:r w:rsidRPr="00C000B2">
              <w:t xml:space="preserve">vulnerable to infection with </w:t>
            </w:r>
            <w:r w:rsidRPr="00C000B2">
              <w:rPr>
                <w:i/>
              </w:rPr>
              <w:t xml:space="preserve">H. pylori </w:t>
            </w:r>
            <w:r w:rsidRPr="00C000B2">
              <w:t>and are also more likely to live in poverty and overcrowded housing than adults.</w:t>
            </w:r>
          </w:p>
        </w:tc>
      </w:tr>
      <w:tr w:rsidR="00990345" w14:paraId="55AD5D3D" w14:textId="77777777" w:rsidTr="00351028">
        <w:trPr>
          <w:cantSplit/>
        </w:trPr>
        <w:tc>
          <w:tcPr>
            <w:tcW w:w="426" w:type="dxa"/>
            <w:tcBorders>
              <w:right w:val="single" w:sz="48" w:space="0" w:color="FFFFFF" w:themeColor="background1"/>
            </w:tcBorders>
            <w:shd w:val="clear" w:color="auto" w:fill="22B893"/>
          </w:tcPr>
          <w:p w14:paraId="33C86C67" w14:textId="77777777" w:rsidR="00990345" w:rsidRDefault="00990345" w:rsidP="00351028"/>
        </w:tc>
        <w:tc>
          <w:tcPr>
            <w:tcW w:w="304" w:type="dxa"/>
            <w:shd w:val="clear" w:color="auto" w:fill="F37973"/>
          </w:tcPr>
          <w:p w14:paraId="2AF38017" w14:textId="77777777" w:rsidR="00990345" w:rsidRPr="0029210A" w:rsidRDefault="00990345" w:rsidP="00351028">
            <w:pPr>
              <w:pStyle w:val="TableText"/>
            </w:pPr>
          </w:p>
        </w:tc>
        <w:tc>
          <w:tcPr>
            <w:tcW w:w="7067" w:type="dxa"/>
          </w:tcPr>
          <w:p w14:paraId="5A85AF92" w14:textId="77777777" w:rsidR="00990345" w:rsidRPr="0029210A" w:rsidRDefault="00B16FAF" w:rsidP="00351028">
            <w:pPr>
              <w:pStyle w:val="TableText"/>
              <w:ind w:left="113"/>
            </w:pPr>
            <w:r w:rsidRPr="00C000B2">
              <w:t>In 2020, of the 210,500 children living in poverty,</w:t>
            </w:r>
            <w:r w:rsidRPr="00B16FAF">
              <w:rPr>
                <w:vertAlign w:val="superscript"/>
              </w:rPr>
              <w:t>426</w:t>
            </w:r>
            <w:r w:rsidRPr="00C000B2">
              <w:t xml:space="preserve"> 21 percent were Māori and Pacific compared with 14.8 percent who were New Zealand European.</w:t>
            </w:r>
            <w:r w:rsidRPr="00B16FAF">
              <w:rPr>
                <w:vertAlign w:val="superscript"/>
              </w:rPr>
              <w:t>407</w:t>
            </w:r>
            <w:r w:rsidRPr="00C000B2">
              <w:t xml:space="preserve"> In 2018, 40 percent of Pacific families and 20 percent of Māori families were living in overcrowded housing.</w:t>
            </w:r>
            <w:r w:rsidRPr="00B16FAF">
              <w:rPr>
                <w:vertAlign w:val="superscript"/>
              </w:rPr>
              <w:t>408</w:t>
            </w:r>
            <w:r w:rsidRPr="00C000B2">
              <w:t xml:space="preserve"> Infection rates also involve substantial inequities, with Māori and Pacific children significantly more likely to be infected with </w:t>
            </w:r>
            <w:r w:rsidRPr="00C000B2">
              <w:rPr>
                <w:i/>
              </w:rPr>
              <w:t>H. pylor</w:t>
            </w:r>
            <w:r w:rsidRPr="00C000B2">
              <w:t>i.</w:t>
            </w:r>
            <w:r w:rsidRPr="00B16FAF">
              <w:rPr>
                <w:vertAlign w:val="superscript"/>
              </w:rPr>
              <w:t>427</w:t>
            </w:r>
          </w:p>
        </w:tc>
      </w:tr>
    </w:tbl>
    <w:p w14:paraId="76DEC7E5" w14:textId="77777777" w:rsidR="00EF27EC" w:rsidRPr="00C000B2" w:rsidRDefault="00EF27EC" w:rsidP="00B16FAF">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47F6C2B6" w14:textId="77777777" w:rsidTr="00AB11A2">
        <w:trPr>
          <w:cantSplit/>
        </w:trPr>
        <w:tc>
          <w:tcPr>
            <w:tcW w:w="8080" w:type="dxa"/>
            <w:gridSpan w:val="2"/>
            <w:tcBorders>
              <w:bottom w:val="nil"/>
            </w:tcBorders>
            <w:shd w:val="clear" w:color="auto" w:fill="D7EDE4"/>
          </w:tcPr>
          <w:p w14:paraId="5BA79B1E" w14:textId="77777777" w:rsidR="0029210A" w:rsidRPr="00AB3864" w:rsidRDefault="0029210A" w:rsidP="00B16FAF">
            <w:pPr>
              <w:pStyle w:val="TableText"/>
              <w:spacing w:before="120"/>
              <w:rPr>
                <w:b/>
                <w:sz w:val="22"/>
                <w:szCs w:val="22"/>
              </w:rPr>
            </w:pPr>
            <w:r w:rsidRPr="00AB3864">
              <w:rPr>
                <w:b/>
                <w:sz w:val="22"/>
                <w:szCs w:val="22"/>
              </w:rPr>
              <w:t xml:space="preserve">Action: </w:t>
            </w:r>
            <w:r w:rsidR="00B16FAF" w:rsidRPr="00B16FAF">
              <w:rPr>
                <w:sz w:val="22"/>
                <w:szCs w:val="22"/>
              </w:rPr>
              <w:t>Reduce child poverty</w:t>
            </w:r>
          </w:p>
        </w:tc>
      </w:tr>
      <w:tr w:rsidR="0029210A" w14:paraId="71923174" w14:textId="77777777" w:rsidTr="00B16FAF">
        <w:trPr>
          <w:cantSplit/>
        </w:trPr>
        <w:tc>
          <w:tcPr>
            <w:tcW w:w="4040" w:type="dxa"/>
            <w:tcBorders>
              <w:top w:val="nil"/>
              <w:bottom w:val="single" w:sz="8" w:space="0" w:color="22B893"/>
              <w:right w:val="dashed" w:sz="4" w:space="0" w:color="22B893"/>
            </w:tcBorders>
          </w:tcPr>
          <w:p w14:paraId="6098A0C6" w14:textId="77777777" w:rsidR="0029210A" w:rsidRPr="00AB3864" w:rsidRDefault="0029210A" w:rsidP="00AB11A2">
            <w:pPr>
              <w:pStyle w:val="TableText"/>
              <w:ind w:right="142"/>
              <w:rPr>
                <w:sz w:val="20"/>
              </w:rPr>
            </w:pPr>
            <w:r w:rsidRPr="00AB3864">
              <w:rPr>
                <w:sz w:val="20"/>
              </w:rPr>
              <w:t>What is the evidence?</w:t>
            </w:r>
          </w:p>
          <w:p w14:paraId="5A5CB1E8" w14:textId="77777777" w:rsidR="0029210A" w:rsidRDefault="00B16FAF" w:rsidP="00AB11A2">
            <w:pPr>
              <w:pStyle w:val="TableText"/>
              <w:ind w:right="113"/>
            </w:pPr>
            <w:r w:rsidRPr="00C000B2">
              <w:t xml:space="preserve">Poverty (socioeconomic deprivation) is strongly associated with many infectious diseases in children and young people, including </w:t>
            </w:r>
            <w:r w:rsidRPr="00C000B2">
              <w:rPr>
                <w:i/>
              </w:rPr>
              <w:t xml:space="preserve">H. pylori </w:t>
            </w:r>
            <w:r w:rsidRPr="00C000B2">
              <w:t>infection in those aged under 20 years.</w:t>
            </w:r>
            <w:r w:rsidRPr="00B16FAF">
              <w:rPr>
                <w:vertAlign w:val="superscript"/>
              </w:rPr>
              <w:t>428</w:t>
            </w:r>
          </w:p>
        </w:tc>
        <w:tc>
          <w:tcPr>
            <w:tcW w:w="4040" w:type="dxa"/>
            <w:tcBorders>
              <w:top w:val="nil"/>
              <w:left w:val="dashed" w:sz="4" w:space="0" w:color="22B893"/>
              <w:bottom w:val="single" w:sz="8" w:space="0" w:color="22B893"/>
            </w:tcBorders>
          </w:tcPr>
          <w:p w14:paraId="3121F34A" w14:textId="77777777" w:rsidR="0029210A" w:rsidRPr="00AB3864" w:rsidRDefault="0029210A" w:rsidP="00AB11A2">
            <w:pPr>
              <w:pStyle w:val="TableText"/>
              <w:ind w:left="113"/>
              <w:rPr>
                <w:sz w:val="20"/>
              </w:rPr>
            </w:pPr>
            <w:r w:rsidRPr="00AB3864">
              <w:rPr>
                <w:sz w:val="20"/>
              </w:rPr>
              <w:t>What is Aotearoa doing currently?</w:t>
            </w:r>
          </w:p>
          <w:p w14:paraId="7E7F27D5" w14:textId="77777777" w:rsidR="00B16FAF" w:rsidRPr="00C000B2" w:rsidRDefault="00B16FAF" w:rsidP="00B16FAF">
            <w:pPr>
              <w:pStyle w:val="TableText"/>
              <w:ind w:left="113"/>
            </w:pPr>
            <w:r w:rsidRPr="00C000B2">
              <w:t>The Child Poverty Reduction Act 2018 set targets for reducing child poverty and required annual reporting on progress. From July 2018, targeted support for</w:t>
            </w:r>
            <w:r>
              <w:t xml:space="preserve"> </w:t>
            </w:r>
            <w:r w:rsidRPr="00C000B2">
              <w:t>low- and middle-income families with children (known as the Families Package) has gradually been implemented.</w:t>
            </w:r>
          </w:p>
          <w:p w14:paraId="6F28214B" w14:textId="77777777" w:rsidR="0029210A" w:rsidRDefault="00B16FAF" w:rsidP="00B16FAF">
            <w:pPr>
              <w:pStyle w:val="TableText"/>
              <w:ind w:left="113"/>
            </w:pPr>
            <w:r w:rsidRPr="00C000B2">
              <w:t>In 2021, the Government’s Budget included significant increases to benefits, which are likely to contribute to reduced child poverty rates.</w:t>
            </w:r>
          </w:p>
        </w:tc>
      </w:tr>
    </w:tbl>
    <w:p w14:paraId="10802F0C" w14:textId="77777777" w:rsidR="0029210A" w:rsidRPr="00C000B2" w:rsidRDefault="0029210A" w:rsidP="00B16FAF">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3EFEE947" w14:textId="77777777" w:rsidTr="00AB11A2">
        <w:trPr>
          <w:cantSplit/>
        </w:trPr>
        <w:tc>
          <w:tcPr>
            <w:tcW w:w="8080" w:type="dxa"/>
            <w:gridSpan w:val="2"/>
            <w:tcBorders>
              <w:bottom w:val="nil"/>
            </w:tcBorders>
            <w:shd w:val="clear" w:color="auto" w:fill="D7EDE4"/>
          </w:tcPr>
          <w:p w14:paraId="2099953C" w14:textId="77777777" w:rsidR="0029210A" w:rsidRPr="00AB3864" w:rsidRDefault="0029210A" w:rsidP="00B16FAF">
            <w:pPr>
              <w:pStyle w:val="TableText"/>
              <w:keepNext/>
              <w:spacing w:before="120"/>
              <w:rPr>
                <w:b/>
                <w:sz w:val="22"/>
                <w:szCs w:val="22"/>
              </w:rPr>
            </w:pPr>
            <w:r w:rsidRPr="00AB3864">
              <w:rPr>
                <w:b/>
                <w:sz w:val="22"/>
                <w:szCs w:val="22"/>
              </w:rPr>
              <w:lastRenderedPageBreak/>
              <w:t xml:space="preserve">Action: </w:t>
            </w:r>
            <w:r w:rsidR="00B16FAF" w:rsidRPr="00B16FAF">
              <w:rPr>
                <w:sz w:val="22"/>
                <w:szCs w:val="22"/>
              </w:rPr>
              <w:t>Reduce children’s exposure to household crowding</w:t>
            </w:r>
          </w:p>
        </w:tc>
      </w:tr>
      <w:tr w:rsidR="0029210A" w14:paraId="07D3B6BF" w14:textId="77777777" w:rsidTr="00B16FAF">
        <w:trPr>
          <w:cantSplit/>
        </w:trPr>
        <w:tc>
          <w:tcPr>
            <w:tcW w:w="4040" w:type="dxa"/>
            <w:tcBorders>
              <w:top w:val="nil"/>
              <w:bottom w:val="single" w:sz="8" w:space="0" w:color="22B893"/>
              <w:right w:val="dashed" w:sz="4" w:space="0" w:color="22B893"/>
            </w:tcBorders>
          </w:tcPr>
          <w:p w14:paraId="54481166" w14:textId="77777777" w:rsidR="0029210A" w:rsidRPr="00AB3864" w:rsidRDefault="0029210A" w:rsidP="00AB11A2">
            <w:pPr>
              <w:pStyle w:val="TableText"/>
              <w:ind w:right="142"/>
              <w:rPr>
                <w:sz w:val="20"/>
              </w:rPr>
            </w:pPr>
            <w:r w:rsidRPr="00AB3864">
              <w:rPr>
                <w:sz w:val="20"/>
              </w:rPr>
              <w:t>What is the evidence?</w:t>
            </w:r>
          </w:p>
          <w:p w14:paraId="6BD05044" w14:textId="77777777" w:rsidR="00B16FAF" w:rsidRPr="00C000B2" w:rsidRDefault="00B16FAF" w:rsidP="00B16FAF">
            <w:pPr>
              <w:pStyle w:val="TableText"/>
              <w:ind w:right="113"/>
            </w:pPr>
            <w:r w:rsidRPr="00C000B2">
              <w:t xml:space="preserve">Because </w:t>
            </w:r>
            <w:r w:rsidRPr="00C000B2">
              <w:rPr>
                <w:i/>
              </w:rPr>
              <w:t xml:space="preserve">H. pylori </w:t>
            </w:r>
            <w:r w:rsidRPr="00C000B2">
              <w:t>is spread primarily through oral</w:t>
            </w:r>
            <w:r>
              <w:t>–</w:t>
            </w:r>
            <w:r w:rsidRPr="00C000B2">
              <w:t>oral or faecal-oral routes, close household contact is a key risk factor for transmission of infection.</w:t>
            </w:r>
            <w:r w:rsidRPr="00B16FAF">
              <w:rPr>
                <w:vertAlign w:val="superscript"/>
              </w:rPr>
              <w:t>428</w:t>
            </w:r>
          </w:p>
          <w:p w14:paraId="31A43538" w14:textId="77777777" w:rsidR="0029210A" w:rsidRDefault="00B16FAF" w:rsidP="00B16FAF">
            <w:pPr>
              <w:pStyle w:val="TableText"/>
              <w:ind w:right="113"/>
            </w:pPr>
            <w:r w:rsidRPr="00C000B2">
              <w:rPr>
                <w:i/>
              </w:rPr>
              <w:t xml:space="preserve">H. pylori </w:t>
            </w:r>
            <w:r w:rsidRPr="00C000B2">
              <w:t>infection is clearly associated with household crowding in children and young people aged under 20 years.</w:t>
            </w:r>
            <w:r w:rsidRPr="00B16FAF">
              <w:rPr>
                <w:vertAlign w:val="superscript"/>
              </w:rPr>
              <w:t>405, 428</w:t>
            </w:r>
            <w:r w:rsidRPr="00C000B2">
              <w:t xml:space="preserve"> Interventions that reduce household crowding reduce the risk of</w:t>
            </w:r>
            <w:r>
              <w:t xml:space="preserve"> </w:t>
            </w:r>
            <w:r w:rsidRPr="00C000B2">
              <w:t>gastrointestinal and respiratory infections, including</w:t>
            </w:r>
            <w:r>
              <w:t xml:space="preserve"> </w:t>
            </w:r>
            <w:r w:rsidRPr="00C000B2">
              <w:rPr>
                <w:i/>
              </w:rPr>
              <w:t>H.</w:t>
            </w:r>
            <w:r>
              <w:rPr>
                <w:i/>
              </w:rPr>
              <w:t> </w:t>
            </w:r>
            <w:r w:rsidRPr="00C000B2">
              <w:rPr>
                <w:i/>
              </w:rPr>
              <w:t>pylori</w:t>
            </w:r>
            <w:r w:rsidRPr="00C000B2">
              <w:t>.</w:t>
            </w:r>
            <w:r w:rsidRPr="00B16FAF">
              <w:rPr>
                <w:vertAlign w:val="superscript"/>
              </w:rPr>
              <w:t>423</w:t>
            </w:r>
            <w:r w:rsidRPr="00C000B2">
              <w:t xml:space="preserve"> Reducing household crowding can reduce hospital admissions for close-contact infectious diseases,</w:t>
            </w:r>
            <w:r w:rsidRPr="00B16FAF">
              <w:rPr>
                <w:vertAlign w:val="superscript"/>
              </w:rPr>
              <w:t>405</w:t>
            </w:r>
            <w:r w:rsidRPr="00C000B2">
              <w:t xml:space="preserve"> although impacts on </w:t>
            </w:r>
            <w:r w:rsidRPr="00C000B2">
              <w:rPr>
                <w:i/>
              </w:rPr>
              <w:t>H.</w:t>
            </w:r>
            <w:r>
              <w:rPr>
                <w:i/>
              </w:rPr>
              <w:t> </w:t>
            </w:r>
            <w:r w:rsidRPr="00C000B2">
              <w:rPr>
                <w:i/>
              </w:rPr>
              <w:t xml:space="preserve">pylori </w:t>
            </w:r>
            <w:r w:rsidRPr="00C000B2">
              <w:t>infection rates were not specifically assessed.</w:t>
            </w:r>
          </w:p>
        </w:tc>
        <w:tc>
          <w:tcPr>
            <w:tcW w:w="4040" w:type="dxa"/>
            <w:tcBorders>
              <w:top w:val="nil"/>
              <w:left w:val="dashed" w:sz="4" w:space="0" w:color="22B893"/>
              <w:bottom w:val="single" w:sz="8" w:space="0" w:color="22B893"/>
            </w:tcBorders>
          </w:tcPr>
          <w:p w14:paraId="039A6A35" w14:textId="77777777" w:rsidR="0029210A" w:rsidRPr="00AB3864" w:rsidRDefault="0029210A" w:rsidP="00AB11A2">
            <w:pPr>
              <w:pStyle w:val="TableText"/>
              <w:ind w:left="113"/>
              <w:rPr>
                <w:sz w:val="20"/>
              </w:rPr>
            </w:pPr>
            <w:r w:rsidRPr="00AB3864">
              <w:rPr>
                <w:sz w:val="20"/>
              </w:rPr>
              <w:t>What is Aotearoa doing currently?</w:t>
            </w:r>
          </w:p>
          <w:p w14:paraId="55E923F5" w14:textId="77777777" w:rsidR="00B16FAF" w:rsidRPr="00C000B2" w:rsidRDefault="00B16FAF" w:rsidP="00B16FAF">
            <w:pPr>
              <w:pStyle w:val="TableText"/>
              <w:ind w:left="113"/>
            </w:pPr>
            <w:r w:rsidRPr="00C000B2">
              <w:t>Aotearoa established the Healthy Homes Initiatives</w:t>
            </w:r>
            <w:r w:rsidRPr="00B16FAF">
              <w:rPr>
                <w:rStyle w:val="FootnoteReference"/>
                <w:vertAlign w:val="baseline"/>
              </w:rPr>
              <w:footnoteReference w:customMarkFollows="1" w:id="6"/>
              <w:t>*</w:t>
            </w:r>
            <w:r w:rsidRPr="00C000B2">
              <w:t xml:space="preserve"> between 2013 and 2015 to improve children’s access to warm, dry, uncrowded homes.</w:t>
            </w:r>
            <w:r w:rsidRPr="00B16FAF">
              <w:rPr>
                <w:vertAlign w:val="superscript"/>
              </w:rPr>
              <w:t>429</w:t>
            </w:r>
            <w:r w:rsidRPr="00C000B2">
              <w:t xml:space="preserve"> The initiative</w:t>
            </w:r>
            <w:r>
              <w:t xml:space="preserve"> </w:t>
            </w:r>
            <w:r w:rsidRPr="00C000B2">
              <w:t xml:space="preserve">is a partnership between many different agencies, including the Ministry of Health, District Health Boards, Housing New </w:t>
            </w:r>
            <w:proofErr w:type="gramStart"/>
            <w:r w:rsidRPr="00C000B2">
              <w:t>Zealand</w:t>
            </w:r>
            <w:proofErr w:type="gramEnd"/>
            <w:r w:rsidRPr="00C000B2">
              <w:t xml:space="preserve"> and the Ministry for Social Development. Initially, the programme only provided housing support to children and whānau with (or at risk of developing) acute rheumatic fever.</w:t>
            </w:r>
            <w:r w:rsidRPr="00B16FAF">
              <w:rPr>
                <w:vertAlign w:val="superscript"/>
              </w:rPr>
              <w:t>429</w:t>
            </w:r>
            <w:r w:rsidRPr="00C000B2">
              <w:t xml:space="preserve"> In 2016, it was extended to children from low income whānau with any housing related illness.</w:t>
            </w:r>
          </w:p>
          <w:p w14:paraId="6C154A63" w14:textId="77777777" w:rsidR="0029210A" w:rsidRDefault="00B16FAF" w:rsidP="00B16FAF">
            <w:pPr>
              <w:pStyle w:val="TableText"/>
              <w:ind w:left="113"/>
            </w:pPr>
            <w:r w:rsidRPr="00C000B2">
              <w:t xml:space="preserve">A recent evaluation of the programme showed it effectively reduced hospital admissions and GP visits for infectious illnesses, although its impact on </w:t>
            </w:r>
            <w:r w:rsidRPr="00C000B2">
              <w:rPr>
                <w:i/>
              </w:rPr>
              <w:t xml:space="preserve">H. pylori </w:t>
            </w:r>
            <w:r w:rsidRPr="00C000B2">
              <w:t>acquisition was not assessed.</w:t>
            </w:r>
            <w:r w:rsidRPr="00B16FAF">
              <w:rPr>
                <w:vertAlign w:val="superscript"/>
              </w:rPr>
              <w:t>429</w:t>
            </w:r>
          </w:p>
        </w:tc>
      </w:tr>
    </w:tbl>
    <w:p w14:paraId="60167DC0" w14:textId="77777777" w:rsidR="00EF27EC" w:rsidRPr="00C000B2" w:rsidRDefault="00EF27EC" w:rsidP="00B16FAF">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990345" w14:paraId="29A19CA4" w14:textId="77777777" w:rsidTr="00351028">
        <w:trPr>
          <w:cantSplit/>
        </w:trPr>
        <w:tc>
          <w:tcPr>
            <w:tcW w:w="426" w:type="dxa"/>
            <w:tcBorders>
              <w:right w:val="single" w:sz="48" w:space="0" w:color="FFFFFF" w:themeColor="background1"/>
            </w:tcBorders>
            <w:shd w:val="clear" w:color="auto" w:fill="22B893"/>
          </w:tcPr>
          <w:p w14:paraId="59E309B6" w14:textId="77777777" w:rsidR="00990345" w:rsidRDefault="00990345" w:rsidP="00351028"/>
        </w:tc>
        <w:tc>
          <w:tcPr>
            <w:tcW w:w="7371" w:type="dxa"/>
          </w:tcPr>
          <w:p w14:paraId="75F87896" w14:textId="77777777" w:rsidR="00990345" w:rsidRPr="00B16FAF" w:rsidRDefault="00990345" w:rsidP="00351028">
            <w:pPr>
              <w:pStyle w:val="TableText"/>
              <w:rPr>
                <w:sz w:val="22"/>
                <w:szCs w:val="22"/>
              </w:rPr>
            </w:pPr>
            <w:r w:rsidRPr="0029210A">
              <w:rPr>
                <w:b/>
                <w:sz w:val="22"/>
                <w:szCs w:val="22"/>
              </w:rPr>
              <w:t xml:space="preserve">Focus area: </w:t>
            </w:r>
            <w:r w:rsidR="00B16FAF" w:rsidRPr="00B16FAF">
              <w:rPr>
                <w:sz w:val="22"/>
                <w:szCs w:val="22"/>
              </w:rPr>
              <w:t xml:space="preserve">Reduce risk of transmission of infection through contaminated blood and body fluids (primary prevention – HPV, </w:t>
            </w:r>
            <w:r w:rsidR="009278A9">
              <w:rPr>
                <w:sz w:val="22"/>
                <w:szCs w:val="22"/>
              </w:rPr>
              <w:t>hepatitis B</w:t>
            </w:r>
            <w:r w:rsidR="00B16FAF" w:rsidRPr="00B16FAF">
              <w:rPr>
                <w:sz w:val="22"/>
                <w:szCs w:val="22"/>
              </w:rPr>
              <w:t xml:space="preserve"> and C, HIV)</w:t>
            </w:r>
          </w:p>
          <w:p w14:paraId="5836FACB" w14:textId="77777777" w:rsidR="00B16FAF" w:rsidRPr="00B16FAF" w:rsidRDefault="00B16FAF" w:rsidP="00B16FAF">
            <w:pPr>
              <w:pStyle w:val="TableText"/>
              <w:rPr>
                <w:sz w:val="20"/>
              </w:rPr>
            </w:pPr>
            <w:r w:rsidRPr="00B16FAF">
              <w:rPr>
                <w:sz w:val="20"/>
              </w:rPr>
              <w:t>What is the impact of contaminated blood and body fluids on transmission of infections?</w:t>
            </w:r>
          </w:p>
          <w:p w14:paraId="50401197" w14:textId="77777777" w:rsidR="00B16FAF" w:rsidRPr="00C000B2" w:rsidRDefault="009278A9" w:rsidP="00B16FAF">
            <w:pPr>
              <w:pStyle w:val="TableText"/>
            </w:pPr>
            <w:r>
              <w:t>Hepatitis B</w:t>
            </w:r>
            <w:r w:rsidR="00B16FAF" w:rsidRPr="00C000B2">
              <w:t xml:space="preserve"> and C and HIV are transmitted through exposure to contaminated blood and body fluids. HPV is mainly transmitted through sexual contact.</w:t>
            </w:r>
          </w:p>
          <w:p w14:paraId="44EFB183" w14:textId="77777777" w:rsidR="00B16FAF" w:rsidRPr="00C000B2" w:rsidRDefault="00B16FAF" w:rsidP="00B16FAF">
            <w:pPr>
              <w:pStyle w:val="TableText"/>
            </w:pPr>
            <w:r w:rsidRPr="00C000B2">
              <w:t xml:space="preserve">In 2018, almost 20 percent of cases of acute </w:t>
            </w:r>
            <w:r w:rsidR="009278A9">
              <w:t>hepatitis B</w:t>
            </w:r>
            <w:r w:rsidRPr="00C000B2">
              <w:t xml:space="preserve"> in Aotearoa reported sexual contact with a confirmed case of acute or chronic </w:t>
            </w:r>
            <w:r w:rsidR="009278A9">
              <w:t>hepatitis B</w:t>
            </w:r>
            <w:r w:rsidRPr="00C000B2">
              <w:t xml:space="preserve"> infection.</w:t>
            </w:r>
            <w:r w:rsidRPr="00B16FAF">
              <w:rPr>
                <w:vertAlign w:val="superscript"/>
              </w:rPr>
              <w:t>430</w:t>
            </w:r>
          </w:p>
          <w:p w14:paraId="3A79B865" w14:textId="77777777" w:rsidR="00B16FAF" w:rsidRPr="00C000B2" w:rsidRDefault="00B16FAF" w:rsidP="00B16FAF">
            <w:pPr>
              <w:pStyle w:val="TableText"/>
            </w:pPr>
            <w:r w:rsidRPr="00C000B2">
              <w:t xml:space="preserve">International studies show inadequate infection control practices have resulted in transmission of </w:t>
            </w:r>
            <w:r w:rsidR="009278A9">
              <w:t>hepatitis B</w:t>
            </w:r>
            <w:r w:rsidRPr="00C000B2">
              <w:t xml:space="preserve"> and </w:t>
            </w:r>
            <w:r w:rsidR="009278A9">
              <w:t>hepatitis C</w:t>
            </w:r>
            <w:r w:rsidRPr="00C000B2">
              <w:t xml:space="preserve"> from health workers to patients and vice versa in health care settings,</w:t>
            </w:r>
            <w:r w:rsidRPr="00B16FAF">
              <w:rPr>
                <w:vertAlign w:val="superscript"/>
              </w:rPr>
              <w:t>431</w:t>
            </w:r>
            <w:r w:rsidRPr="00C000B2">
              <w:t xml:space="preserve"> and following tattooing in prison and non-prison settings.</w:t>
            </w:r>
            <w:r w:rsidRPr="00B16FAF">
              <w:rPr>
                <w:vertAlign w:val="superscript"/>
              </w:rPr>
              <w:t>432–434</w:t>
            </w:r>
          </w:p>
          <w:p w14:paraId="6AA3D14E" w14:textId="77777777" w:rsidR="00990345" w:rsidRDefault="00B16FAF" w:rsidP="00B16FAF">
            <w:pPr>
              <w:pStyle w:val="TableText"/>
            </w:pPr>
            <w:r w:rsidRPr="00C000B2">
              <w:rPr>
                <w:noProof/>
                <w:lang w:eastAsia="en-NZ"/>
              </w:rPr>
              <mc:AlternateContent>
                <mc:Choice Requires="wps">
                  <w:drawing>
                    <wp:anchor distT="0" distB="0" distL="114300" distR="114300" simplePos="0" relativeHeight="252170240" behindDoc="1" locked="0" layoutInCell="1" allowOverlap="1" wp14:anchorId="0054AB00" wp14:editId="4084A6C4">
                      <wp:simplePos x="0" y="0"/>
                      <wp:positionH relativeFrom="page">
                        <wp:posOffset>3773805</wp:posOffset>
                      </wp:positionH>
                      <wp:positionV relativeFrom="paragraph">
                        <wp:posOffset>1281430</wp:posOffset>
                      </wp:positionV>
                      <wp:extent cx="12700" cy="12700"/>
                      <wp:effectExtent l="1905" t="0" r="4445" b="6350"/>
                      <wp:wrapNone/>
                      <wp:docPr id="102" name="Freeform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943 5943"/>
                                  <a:gd name="T1" fmla="*/ T0 w 20"/>
                                  <a:gd name="T2" fmla="+- 0 2028 2018"/>
                                  <a:gd name="T3" fmla="*/ 2028 h 20"/>
                                  <a:gd name="T4" fmla="+- 0 5946 5943"/>
                                  <a:gd name="T5" fmla="*/ T4 w 20"/>
                                  <a:gd name="T6" fmla="+- 0 2021 2018"/>
                                  <a:gd name="T7" fmla="*/ 2021 h 20"/>
                                  <a:gd name="T8" fmla="+- 0 5953 5943"/>
                                  <a:gd name="T9" fmla="*/ T8 w 20"/>
                                  <a:gd name="T10" fmla="+- 0 2018 2018"/>
                                  <a:gd name="T11" fmla="*/ 2018 h 20"/>
                                  <a:gd name="T12" fmla="+- 0 5960 5943"/>
                                  <a:gd name="T13" fmla="*/ T12 w 20"/>
                                  <a:gd name="T14" fmla="+- 0 2021 2018"/>
                                  <a:gd name="T15" fmla="*/ 2021 h 20"/>
                                  <a:gd name="T16" fmla="+- 0 5963 5943"/>
                                  <a:gd name="T17" fmla="*/ T16 w 20"/>
                                  <a:gd name="T18" fmla="+- 0 2028 2018"/>
                                  <a:gd name="T19" fmla="*/ 2028 h 20"/>
                                  <a:gd name="T20" fmla="+- 0 5960 5943"/>
                                  <a:gd name="T21" fmla="*/ T20 w 20"/>
                                  <a:gd name="T22" fmla="+- 0 2035 2018"/>
                                  <a:gd name="T23" fmla="*/ 2035 h 20"/>
                                  <a:gd name="T24" fmla="+- 0 5953 5943"/>
                                  <a:gd name="T25" fmla="*/ T24 w 20"/>
                                  <a:gd name="T26" fmla="+- 0 2038 2018"/>
                                  <a:gd name="T27" fmla="*/ 2038 h 20"/>
                                  <a:gd name="T28" fmla="+- 0 5946 5943"/>
                                  <a:gd name="T29" fmla="*/ T28 w 20"/>
                                  <a:gd name="T30" fmla="+- 0 2035 2018"/>
                                  <a:gd name="T31" fmla="*/ 2035 h 20"/>
                                  <a:gd name="T32" fmla="+- 0 5943 5943"/>
                                  <a:gd name="T33" fmla="*/ T32 w 20"/>
                                  <a:gd name="T34" fmla="+- 0 2028 2018"/>
                                  <a:gd name="T35" fmla="*/ 202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B5B0B" id="Freeform 102" o:spid="_x0000_s1026" alt="&quot;&quot;" style="position:absolute;margin-left:297.15pt;margin-top:100.9pt;width:1pt;height:1pt;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" path="m,10l3,3,10,r7,3l20,10r-3,7l10,20,3,17,,10xe" fillcolor="#22b893" stroked="f">
                      <v:path arrowok="t" o:connecttype="custom" o:connectlocs="0,1287780;1905,1283335;6350,1281430;10795,1283335;12700,1287780;10795,1292225;6350,1294130;1905,1292225;0,1287780" o:connectangles="0,0,0,0,0,0,0,0,0"/>
                      <w10:wrap anchorx="page"/>
                    </v:shape>
                  </w:pict>
                </mc:Fallback>
              </mc:AlternateContent>
            </w:r>
            <w:r w:rsidRPr="00C000B2">
              <w:t xml:space="preserve">Intravenous (IV) drug use is now the main risk factor for </w:t>
            </w:r>
            <w:r w:rsidR="009278A9">
              <w:t>hepatitis C</w:t>
            </w:r>
            <w:r w:rsidRPr="00C000B2">
              <w:t xml:space="preserve"> infection in Aotearoa</w:t>
            </w:r>
            <w:r w:rsidRPr="00B16FAF">
              <w:rPr>
                <w:vertAlign w:val="superscript"/>
              </w:rPr>
              <w:t>410</w:t>
            </w:r>
            <w:r w:rsidRPr="00C000B2">
              <w:t xml:space="preserve"> and internationally,</w:t>
            </w:r>
            <w:r w:rsidRPr="00B16FAF">
              <w:rPr>
                <w:vertAlign w:val="superscript"/>
              </w:rPr>
              <w:t>435</w:t>
            </w:r>
            <w:r w:rsidRPr="00C000B2">
              <w:t xml:space="preserve"> and remains a key risk for transmission of </w:t>
            </w:r>
            <w:r w:rsidR="009278A9">
              <w:t>hepatitis B</w:t>
            </w:r>
            <w:r w:rsidRPr="00C000B2">
              <w:t xml:space="preserve">. Sharing syringes and other drug-injecting equipment increases the risk of contracting </w:t>
            </w:r>
            <w:r w:rsidR="009278A9">
              <w:t>hepatitis C</w:t>
            </w:r>
            <w:r w:rsidRPr="00C000B2">
              <w:t xml:space="preserve"> in injecting drug users.</w:t>
            </w:r>
            <w:r w:rsidRPr="00B16FAF">
              <w:rPr>
                <w:vertAlign w:val="superscript"/>
              </w:rPr>
              <w:t>435</w:t>
            </w:r>
          </w:p>
        </w:tc>
      </w:tr>
    </w:tbl>
    <w:p w14:paraId="38030A5B" w14:textId="77777777" w:rsidR="00990345" w:rsidRPr="00C000B2" w:rsidRDefault="00990345" w:rsidP="00B16FAF">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12935CDE" w14:textId="77777777" w:rsidTr="00AB11A2">
        <w:trPr>
          <w:cantSplit/>
        </w:trPr>
        <w:tc>
          <w:tcPr>
            <w:tcW w:w="8080" w:type="dxa"/>
            <w:gridSpan w:val="2"/>
            <w:tcBorders>
              <w:bottom w:val="nil"/>
            </w:tcBorders>
            <w:shd w:val="clear" w:color="auto" w:fill="D7EDE4"/>
          </w:tcPr>
          <w:p w14:paraId="67B12989" w14:textId="77777777" w:rsidR="0029210A" w:rsidRPr="00AB3864" w:rsidRDefault="0029210A" w:rsidP="004B29AD">
            <w:pPr>
              <w:pStyle w:val="TableText"/>
              <w:keepNext/>
              <w:spacing w:before="120"/>
              <w:rPr>
                <w:b/>
                <w:sz w:val="22"/>
                <w:szCs w:val="22"/>
              </w:rPr>
            </w:pPr>
            <w:r w:rsidRPr="00AB3864">
              <w:rPr>
                <w:b/>
                <w:sz w:val="22"/>
                <w:szCs w:val="22"/>
              </w:rPr>
              <w:lastRenderedPageBreak/>
              <w:t xml:space="preserve">Action: </w:t>
            </w:r>
            <w:r w:rsidR="00B16FAF" w:rsidRPr="00B16FAF">
              <w:rPr>
                <w:sz w:val="22"/>
                <w:szCs w:val="22"/>
              </w:rPr>
              <w:t xml:space="preserve">Promote safe sex practices such as consistent condom use (HPV, </w:t>
            </w:r>
            <w:r w:rsidR="009278A9">
              <w:rPr>
                <w:sz w:val="22"/>
                <w:szCs w:val="22"/>
              </w:rPr>
              <w:t>hepatitis B</w:t>
            </w:r>
            <w:r w:rsidR="00B16FAF" w:rsidRPr="00B16FAF">
              <w:rPr>
                <w:sz w:val="22"/>
                <w:szCs w:val="22"/>
              </w:rPr>
              <w:t xml:space="preserve"> and C, HIV)</w:t>
            </w:r>
          </w:p>
        </w:tc>
      </w:tr>
      <w:tr w:rsidR="0029210A" w14:paraId="32019A3C" w14:textId="77777777" w:rsidTr="004B29AD">
        <w:trPr>
          <w:cantSplit/>
        </w:trPr>
        <w:tc>
          <w:tcPr>
            <w:tcW w:w="4040" w:type="dxa"/>
            <w:tcBorders>
              <w:top w:val="nil"/>
              <w:bottom w:val="single" w:sz="8" w:space="0" w:color="22B893"/>
              <w:right w:val="dashed" w:sz="4" w:space="0" w:color="22B893"/>
            </w:tcBorders>
          </w:tcPr>
          <w:p w14:paraId="3A5E59EF" w14:textId="77777777" w:rsidR="0029210A" w:rsidRPr="00AB3864" w:rsidRDefault="0029210A" w:rsidP="00AB11A2">
            <w:pPr>
              <w:pStyle w:val="TableText"/>
              <w:ind w:right="142"/>
              <w:rPr>
                <w:sz w:val="20"/>
              </w:rPr>
            </w:pPr>
            <w:r w:rsidRPr="00AB3864">
              <w:rPr>
                <w:sz w:val="20"/>
              </w:rPr>
              <w:t>What is the evidence?</w:t>
            </w:r>
          </w:p>
          <w:p w14:paraId="50AD02E2" w14:textId="77777777" w:rsidR="00B16FAF" w:rsidRPr="00C000B2" w:rsidRDefault="00B16FAF" w:rsidP="004B29AD">
            <w:pPr>
              <w:pStyle w:val="TableText"/>
              <w:ind w:right="113"/>
            </w:pPr>
            <w:r w:rsidRPr="00C000B2">
              <w:t>Consistent use of condoms reduces the risk of infection with HPV for both men</w:t>
            </w:r>
            <w:r w:rsidRPr="004B29AD">
              <w:rPr>
                <w:vertAlign w:val="superscript"/>
              </w:rPr>
              <w:t>436</w:t>
            </w:r>
            <w:r w:rsidRPr="00C000B2">
              <w:t xml:space="preserve"> and </w:t>
            </w:r>
            <w:proofErr w:type="gramStart"/>
            <w:r w:rsidRPr="00C000B2">
              <w:t>women, and</w:t>
            </w:r>
            <w:proofErr w:type="gramEnd"/>
            <w:r w:rsidRPr="00C000B2">
              <w:t xml:space="preserve"> is protective against the development of cervical cancer in women.</w:t>
            </w:r>
            <w:r w:rsidRPr="004B29AD">
              <w:rPr>
                <w:vertAlign w:val="superscript"/>
              </w:rPr>
              <w:t>437</w:t>
            </w:r>
          </w:p>
          <w:p w14:paraId="185488DF" w14:textId="77777777" w:rsidR="00B16FAF" w:rsidRPr="00C000B2" w:rsidRDefault="00B16FAF" w:rsidP="004B29AD">
            <w:pPr>
              <w:pStyle w:val="TableText"/>
              <w:ind w:right="113"/>
            </w:pPr>
            <w:r w:rsidRPr="00C000B2">
              <w:t xml:space="preserve">Condom use can also reduce the transmission of </w:t>
            </w:r>
            <w:r w:rsidR="009278A9">
              <w:t>hepatitis B</w:t>
            </w:r>
            <w:r w:rsidRPr="00C000B2">
              <w:t>.</w:t>
            </w:r>
            <w:r w:rsidRPr="004B29AD">
              <w:rPr>
                <w:vertAlign w:val="superscript"/>
              </w:rPr>
              <w:t>438</w:t>
            </w:r>
          </w:p>
          <w:p w14:paraId="7E1394A5" w14:textId="77777777" w:rsidR="0029210A" w:rsidRDefault="00B16FAF" w:rsidP="004B29AD">
            <w:pPr>
              <w:pStyle w:val="TableText"/>
              <w:ind w:right="113"/>
            </w:pPr>
            <w:r w:rsidRPr="00C000B2">
              <w:t>For HIV, the correct and consistent use of condoms decreases the risk of infection by about 90</w:t>
            </w:r>
            <w:r w:rsidR="004B29AD">
              <w:t> </w:t>
            </w:r>
            <w:r w:rsidRPr="00C000B2">
              <w:t>percent.</w:t>
            </w:r>
            <w:r w:rsidRPr="004B29AD">
              <w:rPr>
                <w:vertAlign w:val="superscript"/>
              </w:rPr>
              <w:t>439</w:t>
            </w:r>
          </w:p>
        </w:tc>
        <w:tc>
          <w:tcPr>
            <w:tcW w:w="4040" w:type="dxa"/>
            <w:tcBorders>
              <w:top w:val="nil"/>
              <w:left w:val="dashed" w:sz="4" w:space="0" w:color="22B893"/>
              <w:bottom w:val="single" w:sz="8" w:space="0" w:color="22B893"/>
            </w:tcBorders>
          </w:tcPr>
          <w:p w14:paraId="503A82A4" w14:textId="77777777" w:rsidR="0029210A" w:rsidRPr="00AB3864" w:rsidRDefault="0029210A" w:rsidP="00AB11A2">
            <w:pPr>
              <w:pStyle w:val="TableText"/>
              <w:ind w:left="113"/>
              <w:rPr>
                <w:sz w:val="20"/>
              </w:rPr>
            </w:pPr>
            <w:r w:rsidRPr="00AB3864">
              <w:rPr>
                <w:sz w:val="20"/>
              </w:rPr>
              <w:t>What is Aotearoa doing currently?</w:t>
            </w:r>
          </w:p>
          <w:p w14:paraId="6FB29B6D" w14:textId="77777777" w:rsidR="0029210A" w:rsidRDefault="004B29AD" w:rsidP="004B29AD">
            <w:pPr>
              <w:pStyle w:val="TableText"/>
              <w:ind w:left="113"/>
            </w:pPr>
            <w:r w:rsidRPr="00C000B2">
              <w:t xml:space="preserve">The Ministry of Health, the New Zealand Sexual Health Society, New Zealand Family </w:t>
            </w:r>
            <w:proofErr w:type="gramStart"/>
            <w:r w:rsidRPr="00C000B2">
              <w:t>Planning</w:t>
            </w:r>
            <w:proofErr w:type="gramEnd"/>
            <w:r w:rsidRPr="00C000B2">
              <w:t xml:space="preserve"> and other organisations have produced resources for the public and for health professionals on sexually</w:t>
            </w:r>
            <w:r>
              <w:t xml:space="preserve"> </w:t>
            </w:r>
            <w:r w:rsidRPr="00C000B2">
              <w:t xml:space="preserve">transmitted infections (STIs), including HPV, </w:t>
            </w:r>
            <w:r w:rsidR="009278A9">
              <w:t>hepatitis B</w:t>
            </w:r>
            <w:r w:rsidRPr="00C000B2">
              <w:t>, and HIV, and preventing STIs through safe sex</w:t>
            </w:r>
            <w:r>
              <w:t xml:space="preserve"> </w:t>
            </w:r>
            <w:r w:rsidRPr="00C000B2">
              <w:t>and condom use.</w:t>
            </w:r>
            <w:r w:rsidRPr="004B29AD">
              <w:rPr>
                <w:vertAlign w:val="superscript"/>
              </w:rPr>
              <w:t>406</w:t>
            </w:r>
            <w:r w:rsidRPr="00C000B2">
              <w:t xml:space="preserve"> Sexuality education, including teaching about STIs and safe sex, is compulsory in</w:t>
            </w:r>
            <w:r>
              <w:t xml:space="preserve"> </w:t>
            </w:r>
            <w:r w:rsidRPr="00C000B2">
              <w:t>schools in Aotearoa through to the end of year 10.</w:t>
            </w:r>
          </w:p>
        </w:tc>
      </w:tr>
    </w:tbl>
    <w:p w14:paraId="0286D089" w14:textId="77777777" w:rsidR="0029210A" w:rsidRPr="00C000B2" w:rsidRDefault="0029210A" w:rsidP="004B29AD">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157142CD" w14:textId="77777777" w:rsidTr="00AB11A2">
        <w:trPr>
          <w:cantSplit/>
        </w:trPr>
        <w:tc>
          <w:tcPr>
            <w:tcW w:w="8080" w:type="dxa"/>
            <w:gridSpan w:val="2"/>
            <w:tcBorders>
              <w:bottom w:val="nil"/>
            </w:tcBorders>
            <w:shd w:val="clear" w:color="auto" w:fill="D7EDE4"/>
          </w:tcPr>
          <w:p w14:paraId="08FAB7FE" w14:textId="77777777" w:rsidR="0029210A" w:rsidRPr="00AB3864" w:rsidRDefault="0029210A" w:rsidP="004B29AD">
            <w:pPr>
              <w:pStyle w:val="TableText"/>
              <w:spacing w:before="120"/>
              <w:rPr>
                <w:b/>
                <w:sz w:val="22"/>
                <w:szCs w:val="22"/>
              </w:rPr>
            </w:pPr>
            <w:r w:rsidRPr="00AB3864">
              <w:rPr>
                <w:b/>
                <w:sz w:val="22"/>
                <w:szCs w:val="22"/>
              </w:rPr>
              <w:t xml:space="preserve">Action: </w:t>
            </w:r>
            <w:r w:rsidR="004B29AD" w:rsidRPr="004B29AD">
              <w:rPr>
                <w:sz w:val="22"/>
                <w:szCs w:val="22"/>
              </w:rPr>
              <w:t>Prevent transmission through transfusion of contaminated blood products (</w:t>
            </w:r>
            <w:r w:rsidR="009278A9">
              <w:rPr>
                <w:sz w:val="22"/>
                <w:szCs w:val="22"/>
              </w:rPr>
              <w:t>hepatitis B</w:t>
            </w:r>
            <w:r w:rsidR="004B29AD" w:rsidRPr="004B29AD">
              <w:rPr>
                <w:sz w:val="22"/>
                <w:szCs w:val="22"/>
              </w:rPr>
              <w:t xml:space="preserve"> and C, HIV)</w:t>
            </w:r>
          </w:p>
        </w:tc>
      </w:tr>
      <w:tr w:rsidR="0029210A" w14:paraId="45C86F0A" w14:textId="77777777" w:rsidTr="004B29AD">
        <w:trPr>
          <w:cantSplit/>
        </w:trPr>
        <w:tc>
          <w:tcPr>
            <w:tcW w:w="4040" w:type="dxa"/>
            <w:tcBorders>
              <w:top w:val="nil"/>
              <w:bottom w:val="single" w:sz="8" w:space="0" w:color="22B893"/>
              <w:right w:val="dashed" w:sz="4" w:space="0" w:color="22B893"/>
            </w:tcBorders>
          </w:tcPr>
          <w:p w14:paraId="351C6D6F" w14:textId="77777777" w:rsidR="0029210A" w:rsidRPr="00AB3864" w:rsidRDefault="0029210A" w:rsidP="00AB11A2">
            <w:pPr>
              <w:pStyle w:val="TableText"/>
              <w:ind w:right="142"/>
              <w:rPr>
                <w:sz w:val="20"/>
              </w:rPr>
            </w:pPr>
            <w:r w:rsidRPr="00AB3864">
              <w:rPr>
                <w:sz w:val="20"/>
              </w:rPr>
              <w:t>What is the evidence?</w:t>
            </w:r>
          </w:p>
          <w:p w14:paraId="1E9F040B" w14:textId="77777777" w:rsidR="004B29AD" w:rsidRPr="00C000B2" w:rsidRDefault="004B29AD" w:rsidP="004B29AD">
            <w:pPr>
              <w:pStyle w:val="TableText"/>
              <w:ind w:right="113"/>
            </w:pPr>
            <w:r w:rsidRPr="00C000B2">
              <w:t>Transfusion-associated hepatitis and HIV are now rare in most developed countries.</w:t>
            </w:r>
            <w:r w:rsidRPr="004B29AD">
              <w:rPr>
                <w:vertAlign w:val="superscript"/>
              </w:rPr>
              <w:t>440, 441</w:t>
            </w:r>
            <w:r w:rsidRPr="00C000B2">
              <w:t xml:space="preserve"> Before screening of donors and blood products was introduced, the prevalence of transfusion-associated hepatitis was as high as 30 percent in the USA.</w:t>
            </w:r>
            <w:r w:rsidRPr="004B29AD">
              <w:rPr>
                <w:vertAlign w:val="superscript"/>
              </w:rPr>
              <w:t>440</w:t>
            </w:r>
          </w:p>
          <w:p w14:paraId="556AEB7B" w14:textId="2555B812" w:rsidR="004B29AD" w:rsidRPr="00C000B2" w:rsidRDefault="004B29AD" w:rsidP="004B29AD">
            <w:pPr>
              <w:pStyle w:val="TableText"/>
              <w:ind w:right="113"/>
            </w:pPr>
            <w:r w:rsidRPr="00C000B2">
              <w:t>However, transfusion associated he</w:t>
            </w:r>
            <w:r w:rsidR="00D657A2">
              <w:t>p</w:t>
            </w:r>
            <w:r w:rsidRPr="00C000B2">
              <w:t>atitis and HIV remain high in countries that have inadequate screening of blood products and high prevalence of infection in blood donors.</w:t>
            </w:r>
            <w:r w:rsidRPr="004B29AD">
              <w:rPr>
                <w:vertAlign w:val="superscript"/>
              </w:rPr>
              <w:t>441, 442</w:t>
            </w:r>
            <w:r w:rsidRPr="00C000B2">
              <w:t xml:space="preserve"> In Sub-Saharan Africa, unsafe bl</w:t>
            </w:r>
            <w:r>
              <w:t>ood transfusion accounted for 5–</w:t>
            </w:r>
            <w:r w:rsidRPr="00C000B2">
              <w:t>10 percent of HIV infections.</w:t>
            </w:r>
            <w:r w:rsidRPr="004B29AD">
              <w:rPr>
                <w:vertAlign w:val="superscript"/>
              </w:rPr>
              <w:t>443</w:t>
            </w:r>
          </w:p>
          <w:p w14:paraId="01D8A8D7" w14:textId="77777777" w:rsidR="0029210A" w:rsidRDefault="004B29AD" w:rsidP="004B29AD">
            <w:pPr>
              <w:pStyle w:val="TableText"/>
              <w:ind w:right="113"/>
            </w:pPr>
            <w:r w:rsidRPr="00C000B2">
              <w:t xml:space="preserve">Despite screening, a small risk of transmitting infection remains if the donor has an occult </w:t>
            </w:r>
            <w:r w:rsidR="009278A9">
              <w:t>hepatitis B</w:t>
            </w:r>
            <w:r w:rsidRPr="00C000B2">
              <w:t xml:space="preserve"> infection with DNA levels that are undetectable by assays.</w:t>
            </w:r>
            <w:r w:rsidRPr="004B29AD">
              <w:rPr>
                <w:vertAlign w:val="superscript"/>
              </w:rPr>
              <w:t>441</w:t>
            </w:r>
          </w:p>
        </w:tc>
        <w:tc>
          <w:tcPr>
            <w:tcW w:w="4040" w:type="dxa"/>
            <w:tcBorders>
              <w:top w:val="nil"/>
              <w:left w:val="dashed" w:sz="4" w:space="0" w:color="22B893"/>
              <w:bottom w:val="single" w:sz="8" w:space="0" w:color="22B893"/>
            </w:tcBorders>
          </w:tcPr>
          <w:p w14:paraId="6FD1DF20" w14:textId="77777777" w:rsidR="0029210A" w:rsidRPr="00AB3864" w:rsidRDefault="0029210A" w:rsidP="00AB11A2">
            <w:pPr>
              <w:pStyle w:val="TableText"/>
              <w:ind w:left="113"/>
              <w:rPr>
                <w:sz w:val="20"/>
              </w:rPr>
            </w:pPr>
            <w:r w:rsidRPr="00AB3864">
              <w:rPr>
                <w:sz w:val="20"/>
              </w:rPr>
              <w:t>What is Aotearoa doing currently?</w:t>
            </w:r>
          </w:p>
          <w:p w14:paraId="6169B01B" w14:textId="77777777" w:rsidR="004B29AD" w:rsidRPr="00C000B2" w:rsidRDefault="004B29AD" w:rsidP="004B29AD">
            <w:pPr>
              <w:pStyle w:val="TableText"/>
              <w:ind w:left="113"/>
            </w:pPr>
            <w:r w:rsidRPr="00C000B2">
              <w:t xml:space="preserve">The New Zealand Blood Service reduces the risk of transfusion-related infections by excluding donors at high risk of </w:t>
            </w:r>
            <w:r w:rsidR="009278A9">
              <w:t>hepatitis B</w:t>
            </w:r>
            <w:r w:rsidRPr="00C000B2">
              <w:t xml:space="preserve"> or C infections and HIV, by having only volunteer donors who do not receive</w:t>
            </w:r>
            <w:r>
              <w:t xml:space="preserve"> </w:t>
            </w:r>
            <w:r w:rsidRPr="00C000B2">
              <w:t>payment for donation, and by screening every unit of blood for these viruses and discarding any product that tests positive.</w:t>
            </w:r>
            <w:r w:rsidRPr="004B29AD">
              <w:rPr>
                <w:vertAlign w:val="superscript"/>
              </w:rPr>
              <w:t>444</w:t>
            </w:r>
          </w:p>
          <w:p w14:paraId="2E95F8B7" w14:textId="77777777" w:rsidR="004B29AD" w:rsidRPr="00C000B2" w:rsidRDefault="004B29AD" w:rsidP="004B29AD">
            <w:pPr>
              <w:pStyle w:val="TableText"/>
              <w:ind w:left="113"/>
            </w:pPr>
            <w:r w:rsidRPr="00C000B2">
              <w:t xml:space="preserve">No cases of transfusion-associated </w:t>
            </w:r>
            <w:r w:rsidR="009278A9">
              <w:t>hepatitis B</w:t>
            </w:r>
            <w:r w:rsidRPr="00C000B2">
              <w:t xml:space="preserve"> or C infection have been reported in Aotearoa since the introduction of blood screening.</w:t>
            </w:r>
            <w:r w:rsidRPr="004B29AD">
              <w:rPr>
                <w:vertAlign w:val="superscript"/>
              </w:rPr>
              <w:t>445</w:t>
            </w:r>
            <w:r w:rsidRPr="00C000B2">
              <w:t xml:space="preserve"> However,</w:t>
            </w:r>
            <w:r>
              <w:t xml:space="preserve"> </w:t>
            </w:r>
            <w:r w:rsidRPr="00C000B2">
              <w:t>modelling suggests that one case of infection could be expected every two to three years in Aotearoa.</w:t>
            </w:r>
            <w:r w:rsidRPr="004B29AD">
              <w:rPr>
                <w:vertAlign w:val="superscript"/>
              </w:rPr>
              <w:t>446</w:t>
            </w:r>
          </w:p>
          <w:p w14:paraId="4A735674" w14:textId="77777777" w:rsidR="0029210A" w:rsidRDefault="004B29AD" w:rsidP="004B29AD">
            <w:pPr>
              <w:pStyle w:val="TableText"/>
              <w:ind w:left="113"/>
            </w:pPr>
            <w:r w:rsidRPr="00C000B2">
              <w:t>Since 1996, no cases of transfusion-associated HIV infection have been detected in Aotearoa.</w:t>
            </w:r>
            <w:r w:rsidRPr="004B29AD">
              <w:rPr>
                <w:vertAlign w:val="superscript"/>
              </w:rPr>
              <w:t>418</w:t>
            </w:r>
          </w:p>
        </w:tc>
      </w:tr>
    </w:tbl>
    <w:p w14:paraId="3558B6BD" w14:textId="77777777" w:rsidR="0029210A" w:rsidRPr="00C000B2" w:rsidRDefault="0029210A" w:rsidP="004B29AD">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828"/>
        <w:gridCol w:w="4252"/>
      </w:tblGrid>
      <w:tr w:rsidR="0029210A" w:rsidRPr="00AB3864" w14:paraId="3EBEF7E6" w14:textId="77777777" w:rsidTr="00AB11A2">
        <w:trPr>
          <w:cantSplit/>
        </w:trPr>
        <w:tc>
          <w:tcPr>
            <w:tcW w:w="8080" w:type="dxa"/>
            <w:gridSpan w:val="2"/>
            <w:tcBorders>
              <w:bottom w:val="nil"/>
            </w:tcBorders>
            <w:shd w:val="clear" w:color="auto" w:fill="D7EDE4"/>
          </w:tcPr>
          <w:p w14:paraId="27673DEA" w14:textId="77777777" w:rsidR="0029210A" w:rsidRPr="00AB3864" w:rsidRDefault="0029210A" w:rsidP="004B29AD">
            <w:pPr>
              <w:pStyle w:val="TableText"/>
              <w:keepNext/>
              <w:spacing w:before="120"/>
              <w:rPr>
                <w:b/>
                <w:sz w:val="22"/>
                <w:szCs w:val="22"/>
              </w:rPr>
            </w:pPr>
            <w:r w:rsidRPr="00AB3864">
              <w:rPr>
                <w:b/>
                <w:sz w:val="22"/>
                <w:szCs w:val="22"/>
              </w:rPr>
              <w:lastRenderedPageBreak/>
              <w:t xml:space="preserve">Action: </w:t>
            </w:r>
            <w:r w:rsidR="004B29AD" w:rsidRPr="004B29AD">
              <w:rPr>
                <w:sz w:val="22"/>
                <w:szCs w:val="22"/>
              </w:rPr>
              <w:t>Ensure appropriate infection control practices for blood-prone procedures (</w:t>
            </w:r>
            <w:r w:rsidR="009278A9">
              <w:rPr>
                <w:sz w:val="22"/>
                <w:szCs w:val="22"/>
              </w:rPr>
              <w:t>hepatitis B</w:t>
            </w:r>
            <w:r w:rsidR="004B29AD" w:rsidRPr="004B29AD">
              <w:rPr>
                <w:sz w:val="22"/>
                <w:szCs w:val="22"/>
              </w:rPr>
              <w:t xml:space="preserve"> and C, HIV)</w:t>
            </w:r>
          </w:p>
        </w:tc>
      </w:tr>
      <w:tr w:rsidR="0029210A" w14:paraId="384DDC07" w14:textId="77777777" w:rsidTr="004B29AD">
        <w:trPr>
          <w:cantSplit/>
        </w:trPr>
        <w:tc>
          <w:tcPr>
            <w:tcW w:w="3828" w:type="dxa"/>
            <w:tcBorders>
              <w:top w:val="nil"/>
              <w:bottom w:val="single" w:sz="8" w:space="0" w:color="22B893"/>
              <w:right w:val="dashed" w:sz="4" w:space="0" w:color="22B893"/>
            </w:tcBorders>
          </w:tcPr>
          <w:p w14:paraId="3F390DBE" w14:textId="77777777" w:rsidR="0029210A" w:rsidRPr="00AB3864" w:rsidRDefault="0029210A" w:rsidP="00AB11A2">
            <w:pPr>
              <w:pStyle w:val="TableText"/>
              <w:ind w:right="142"/>
              <w:rPr>
                <w:sz w:val="20"/>
              </w:rPr>
            </w:pPr>
            <w:r w:rsidRPr="00AB3864">
              <w:rPr>
                <w:sz w:val="20"/>
              </w:rPr>
              <w:t>What is the evidence?</w:t>
            </w:r>
          </w:p>
          <w:p w14:paraId="0AD10E0A" w14:textId="77777777" w:rsidR="004B29AD" w:rsidRPr="00C000B2" w:rsidRDefault="004B29AD" w:rsidP="004B29AD">
            <w:pPr>
              <w:pStyle w:val="TableText"/>
              <w:ind w:right="113"/>
            </w:pPr>
            <w:r w:rsidRPr="00C000B2">
              <w:t>Strict infection prevention and control practices (including cleaning of premises and appropriate sterilisation of equipment) are recommended for all procedures that could result in exposure to blood.</w:t>
            </w:r>
          </w:p>
          <w:p w14:paraId="11144B36" w14:textId="77777777" w:rsidR="0029210A" w:rsidRDefault="004B29AD" w:rsidP="004B29AD">
            <w:pPr>
              <w:pStyle w:val="TableText"/>
              <w:ind w:right="113"/>
            </w:pPr>
            <w:r w:rsidRPr="00C000B2">
              <w:t>This includes procedures that pierce the skin (</w:t>
            </w:r>
            <w:proofErr w:type="spellStart"/>
            <w:r w:rsidRPr="00C000B2">
              <w:t>eg</w:t>
            </w:r>
            <w:proofErr w:type="spellEnd"/>
            <w:r w:rsidRPr="00C000B2">
              <w:t>, blood tests, injections, tattoos, body</w:t>
            </w:r>
            <w:r>
              <w:t xml:space="preserve"> </w:t>
            </w:r>
            <w:r w:rsidRPr="00C000B2">
              <w:t>piercing) or damage the skin (</w:t>
            </w:r>
            <w:proofErr w:type="spellStart"/>
            <w:r w:rsidRPr="00C000B2">
              <w:t>eg</w:t>
            </w:r>
            <w:proofErr w:type="spellEnd"/>
            <w:r w:rsidRPr="00C000B2">
              <w:t>, skin exfoliation and nail care).</w:t>
            </w:r>
            <w:r w:rsidRPr="004B29AD">
              <w:rPr>
                <w:vertAlign w:val="superscript"/>
              </w:rPr>
              <w:t>447</w:t>
            </w:r>
          </w:p>
        </w:tc>
        <w:tc>
          <w:tcPr>
            <w:tcW w:w="4252" w:type="dxa"/>
            <w:tcBorders>
              <w:top w:val="nil"/>
              <w:left w:val="dashed" w:sz="4" w:space="0" w:color="22B893"/>
              <w:bottom w:val="single" w:sz="8" w:space="0" w:color="22B893"/>
            </w:tcBorders>
          </w:tcPr>
          <w:p w14:paraId="52960539" w14:textId="77777777" w:rsidR="0029210A" w:rsidRPr="00AB3864" w:rsidRDefault="0029210A" w:rsidP="00AB11A2">
            <w:pPr>
              <w:pStyle w:val="TableText"/>
              <w:ind w:left="113"/>
              <w:rPr>
                <w:sz w:val="20"/>
              </w:rPr>
            </w:pPr>
            <w:r w:rsidRPr="00AB3864">
              <w:rPr>
                <w:sz w:val="20"/>
              </w:rPr>
              <w:t>What is Aotearoa doing currently?</w:t>
            </w:r>
          </w:p>
          <w:p w14:paraId="605334CC" w14:textId="77777777" w:rsidR="004B29AD" w:rsidRPr="00C000B2" w:rsidRDefault="004B29AD" w:rsidP="004B29AD">
            <w:pPr>
              <w:pStyle w:val="TableText"/>
              <w:ind w:left="113"/>
            </w:pPr>
            <w:r w:rsidRPr="00C000B2">
              <w:t xml:space="preserve">Under the Health and Safety at Work Act 2015, employers are required to take all practicable steps to mitigate risk and protect workers from exposure to infectious diseases such as </w:t>
            </w:r>
            <w:r w:rsidR="009278A9">
              <w:t>hepatitis B</w:t>
            </w:r>
            <w:r w:rsidRPr="00C000B2">
              <w:t xml:space="preserve"> and C and HIV.</w:t>
            </w:r>
            <w:r w:rsidRPr="004B29AD">
              <w:rPr>
                <w:vertAlign w:val="superscript"/>
              </w:rPr>
              <w:t>448</w:t>
            </w:r>
          </w:p>
          <w:p w14:paraId="731D4ED2" w14:textId="77777777" w:rsidR="004B29AD" w:rsidRPr="00C000B2" w:rsidRDefault="004B29AD" w:rsidP="004B29AD">
            <w:pPr>
              <w:pStyle w:val="TableText"/>
              <w:ind w:left="113"/>
              <w:rPr>
                <w:b/>
              </w:rPr>
            </w:pPr>
            <w:r w:rsidRPr="00C000B2">
              <w:rPr>
                <w:b/>
              </w:rPr>
              <w:t>Health care settings</w:t>
            </w:r>
          </w:p>
          <w:p w14:paraId="4665D0E4" w14:textId="77777777" w:rsidR="004B29AD" w:rsidRPr="00C000B2" w:rsidRDefault="004B29AD" w:rsidP="004B29AD">
            <w:pPr>
              <w:pStyle w:val="TableText"/>
              <w:ind w:left="113"/>
            </w:pPr>
            <w:r w:rsidRPr="00C000B2">
              <w:t xml:space="preserve">Health care workers are legally obliged to comply with established infection control practices to minimise the risk of transmission of </w:t>
            </w:r>
            <w:r w:rsidR="009278A9">
              <w:t>hepatitis B</w:t>
            </w:r>
            <w:r w:rsidRPr="00C000B2">
              <w:t xml:space="preserve"> or C and HIV.</w:t>
            </w:r>
            <w:r w:rsidRPr="004B29AD">
              <w:rPr>
                <w:vertAlign w:val="superscript"/>
              </w:rPr>
              <w:t>449</w:t>
            </w:r>
          </w:p>
          <w:p w14:paraId="4B0B8562" w14:textId="77777777" w:rsidR="004B29AD" w:rsidRPr="00C000B2" w:rsidRDefault="004B29AD" w:rsidP="004B29AD">
            <w:pPr>
              <w:pStyle w:val="TableText"/>
              <w:ind w:left="113"/>
              <w:rPr>
                <w:b/>
              </w:rPr>
            </w:pPr>
            <w:r w:rsidRPr="00C000B2">
              <w:rPr>
                <w:b/>
              </w:rPr>
              <w:t>Other settings</w:t>
            </w:r>
          </w:p>
          <w:p w14:paraId="1408D02E" w14:textId="77777777" w:rsidR="004B29AD" w:rsidRPr="00C000B2" w:rsidRDefault="004B29AD" w:rsidP="004B29AD">
            <w:pPr>
              <w:pStyle w:val="TableText"/>
              <w:ind w:left="113"/>
            </w:pPr>
            <w:r w:rsidRPr="00C000B2">
              <w:t>Aotearoa has no legislation requiring beauty therapists or tattooists to be licensed or to comply with infection control practices.</w:t>
            </w:r>
            <w:r w:rsidRPr="004B29AD">
              <w:rPr>
                <w:vertAlign w:val="superscript"/>
              </w:rPr>
              <w:t>450</w:t>
            </w:r>
          </w:p>
          <w:p w14:paraId="31272471" w14:textId="77777777" w:rsidR="004B29AD" w:rsidRPr="00C000B2" w:rsidRDefault="004B29AD" w:rsidP="004B29AD">
            <w:pPr>
              <w:pStyle w:val="TableText"/>
              <w:ind w:left="113"/>
            </w:pPr>
            <w:r w:rsidRPr="00C000B2">
              <w:t>Some councils have introduced (or are planning to introduce) bylaws to protect people from contracting infectious diseases through services that pierce or break the skin.</w:t>
            </w:r>
            <w:r w:rsidRPr="004B29AD">
              <w:rPr>
                <w:vertAlign w:val="superscript"/>
              </w:rPr>
              <w:t>450</w:t>
            </w:r>
            <w:r w:rsidRPr="00C000B2">
              <w:t xml:space="preserve"> These bylaws outline which business/services must be licensed and what minimum health and hygiene standards they must meet.</w:t>
            </w:r>
          </w:p>
          <w:p w14:paraId="45ADD193" w14:textId="77777777" w:rsidR="0029210A" w:rsidRDefault="004B29AD" w:rsidP="004B29AD">
            <w:pPr>
              <w:pStyle w:val="TableText"/>
              <w:ind w:left="113"/>
            </w:pPr>
            <w:r w:rsidRPr="00C000B2">
              <w:t xml:space="preserve">Some professional bodies, such as the New Association of Registered Beauty Professionals, have published health and hygiene guidelines that outline required infection control practices to reduce the risk of exposure to blood-borne viruses such as </w:t>
            </w:r>
            <w:r w:rsidR="009278A9">
              <w:t>hepatitis B</w:t>
            </w:r>
            <w:r w:rsidRPr="00C000B2">
              <w:t xml:space="preserve"> and </w:t>
            </w:r>
            <w:r w:rsidR="009278A9">
              <w:t>hepatitis C</w:t>
            </w:r>
            <w:r w:rsidRPr="00C000B2">
              <w:t>.</w:t>
            </w:r>
            <w:r w:rsidRPr="004B29AD">
              <w:rPr>
                <w:vertAlign w:val="superscript"/>
              </w:rPr>
              <w:t>451</w:t>
            </w:r>
          </w:p>
        </w:tc>
      </w:tr>
    </w:tbl>
    <w:p w14:paraId="1DFEDA67" w14:textId="77777777" w:rsidR="0029210A" w:rsidRPr="00C000B2" w:rsidRDefault="0029210A" w:rsidP="004B29AD">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828"/>
        <w:gridCol w:w="4252"/>
      </w:tblGrid>
      <w:tr w:rsidR="0029210A" w:rsidRPr="00AB3864" w14:paraId="7CC6581E" w14:textId="77777777" w:rsidTr="00AB11A2">
        <w:trPr>
          <w:cantSplit/>
        </w:trPr>
        <w:tc>
          <w:tcPr>
            <w:tcW w:w="8080" w:type="dxa"/>
            <w:gridSpan w:val="2"/>
            <w:tcBorders>
              <w:bottom w:val="nil"/>
            </w:tcBorders>
            <w:shd w:val="clear" w:color="auto" w:fill="D7EDE4"/>
          </w:tcPr>
          <w:p w14:paraId="550D5D6F" w14:textId="77777777" w:rsidR="0029210A" w:rsidRPr="00AB3864" w:rsidRDefault="0029210A" w:rsidP="004B29AD">
            <w:pPr>
              <w:pStyle w:val="TableText"/>
              <w:spacing w:before="120"/>
              <w:rPr>
                <w:b/>
                <w:sz w:val="22"/>
                <w:szCs w:val="22"/>
              </w:rPr>
            </w:pPr>
            <w:r w:rsidRPr="00AB3864">
              <w:rPr>
                <w:b/>
                <w:sz w:val="22"/>
                <w:szCs w:val="22"/>
              </w:rPr>
              <w:t xml:space="preserve">Action: </w:t>
            </w:r>
            <w:r w:rsidR="004B29AD" w:rsidRPr="004B29AD">
              <w:rPr>
                <w:sz w:val="22"/>
                <w:szCs w:val="22"/>
              </w:rPr>
              <w:t>Ensure access to safe injecting for people who inject drugs (</w:t>
            </w:r>
            <w:r w:rsidR="009278A9">
              <w:rPr>
                <w:sz w:val="22"/>
                <w:szCs w:val="22"/>
              </w:rPr>
              <w:t>hepatitis B</w:t>
            </w:r>
            <w:r w:rsidR="004B29AD" w:rsidRPr="004B29AD">
              <w:rPr>
                <w:sz w:val="22"/>
                <w:szCs w:val="22"/>
              </w:rPr>
              <w:t xml:space="preserve"> and C, HIV)</w:t>
            </w:r>
          </w:p>
        </w:tc>
      </w:tr>
      <w:tr w:rsidR="0029210A" w14:paraId="0B6FF84E" w14:textId="77777777" w:rsidTr="004B29AD">
        <w:trPr>
          <w:cantSplit/>
        </w:trPr>
        <w:tc>
          <w:tcPr>
            <w:tcW w:w="3828" w:type="dxa"/>
            <w:tcBorders>
              <w:top w:val="nil"/>
              <w:bottom w:val="single" w:sz="8" w:space="0" w:color="22B893"/>
              <w:right w:val="dashed" w:sz="4" w:space="0" w:color="22B893"/>
            </w:tcBorders>
          </w:tcPr>
          <w:p w14:paraId="602F6D35" w14:textId="77777777" w:rsidR="0029210A" w:rsidRPr="00AB3864" w:rsidRDefault="0029210A" w:rsidP="00AB11A2">
            <w:pPr>
              <w:pStyle w:val="TableText"/>
              <w:ind w:right="142"/>
              <w:rPr>
                <w:sz w:val="20"/>
              </w:rPr>
            </w:pPr>
            <w:r w:rsidRPr="00AB3864">
              <w:rPr>
                <w:sz w:val="20"/>
              </w:rPr>
              <w:t>What is the evidence?</w:t>
            </w:r>
          </w:p>
          <w:p w14:paraId="167D8344" w14:textId="77777777" w:rsidR="0029210A" w:rsidRDefault="004B29AD" w:rsidP="004B29AD">
            <w:pPr>
              <w:pStyle w:val="TableText"/>
              <w:ind w:right="113"/>
            </w:pPr>
            <w:r w:rsidRPr="00C000B2">
              <w:t xml:space="preserve">An evaluation of the impact of Australian needle and syringe programmes between 2000 and 2009 estimated that the programmes had prevented more than 32,000 new </w:t>
            </w:r>
            <w:r w:rsidR="009278A9">
              <w:t>hepatitis C</w:t>
            </w:r>
            <w:r w:rsidRPr="00C000B2">
              <w:t xml:space="preserve"> infections and almost</w:t>
            </w:r>
            <w:r>
              <w:t xml:space="preserve"> </w:t>
            </w:r>
            <w:r w:rsidRPr="00C000B2">
              <w:t>100,000 new HIV cases. It further assessed the programmes as being highly cost-effective and cost-saving to the health sector.</w:t>
            </w:r>
            <w:r w:rsidRPr="004B29AD">
              <w:rPr>
                <w:vertAlign w:val="superscript"/>
              </w:rPr>
              <w:t>452</w:t>
            </w:r>
          </w:p>
        </w:tc>
        <w:tc>
          <w:tcPr>
            <w:tcW w:w="4252" w:type="dxa"/>
            <w:tcBorders>
              <w:top w:val="nil"/>
              <w:left w:val="dashed" w:sz="4" w:space="0" w:color="22B893"/>
              <w:bottom w:val="single" w:sz="8" w:space="0" w:color="22B893"/>
            </w:tcBorders>
          </w:tcPr>
          <w:p w14:paraId="68218897" w14:textId="77777777" w:rsidR="0029210A" w:rsidRPr="00AB3864" w:rsidRDefault="0029210A" w:rsidP="00AB11A2">
            <w:pPr>
              <w:pStyle w:val="TableText"/>
              <w:ind w:left="113"/>
              <w:rPr>
                <w:sz w:val="20"/>
              </w:rPr>
            </w:pPr>
            <w:r w:rsidRPr="00AB3864">
              <w:rPr>
                <w:sz w:val="20"/>
              </w:rPr>
              <w:t>What is Aotearoa doing currently?</w:t>
            </w:r>
          </w:p>
          <w:p w14:paraId="6981EE3B" w14:textId="77777777" w:rsidR="004B29AD" w:rsidRPr="00C000B2" w:rsidRDefault="004B29AD" w:rsidP="004B29AD">
            <w:pPr>
              <w:pStyle w:val="TableText"/>
              <w:ind w:left="113"/>
            </w:pPr>
            <w:r w:rsidRPr="00C000B2">
              <w:t>Needle exchange programmes were introduced in Aotearoa in the late 1980s. The programmes provide clean needles and injecting equipment to IV drug users to reduce the risk of blood-borne infections.</w:t>
            </w:r>
            <w:r w:rsidRPr="004B29AD">
              <w:rPr>
                <w:vertAlign w:val="superscript"/>
              </w:rPr>
              <w:t>453</w:t>
            </w:r>
          </w:p>
          <w:p w14:paraId="389D446C" w14:textId="77777777" w:rsidR="004B29AD" w:rsidRPr="00C000B2" w:rsidRDefault="004B29AD" w:rsidP="004B29AD">
            <w:pPr>
              <w:pStyle w:val="TableText"/>
              <w:ind w:left="113"/>
            </w:pPr>
            <w:r w:rsidRPr="00C000B2">
              <w:t xml:space="preserve">A review of the programme four to six years after its implementation showed a reduction in needle sharing behaviours and a lower proportion of </w:t>
            </w:r>
            <w:r w:rsidR="009278A9">
              <w:t>hepatitis C</w:t>
            </w:r>
            <w:r w:rsidRPr="00C000B2">
              <w:t xml:space="preserve"> infections in those who started using IV drugs since the programme was introduced.</w:t>
            </w:r>
            <w:r w:rsidRPr="004B29AD">
              <w:rPr>
                <w:vertAlign w:val="superscript"/>
              </w:rPr>
              <w:t>454</w:t>
            </w:r>
          </w:p>
          <w:p w14:paraId="0456A7CC" w14:textId="77777777" w:rsidR="0029210A" w:rsidRDefault="004B29AD" w:rsidP="004B29AD">
            <w:pPr>
              <w:pStyle w:val="TableText"/>
              <w:ind w:left="113"/>
            </w:pPr>
            <w:r w:rsidRPr="00C000B2">
              <w:t>Aotearoa has sustained low levels of HIV transmission among people who inject drugs, with only 2.9 percent of HIV cases in this group between 1996–2018.</w:t>
            </w:r>
            <w:r w:rsidRPr="004B29AD">
              <w:rPr>
                <w:vertAlign w:val="superscript"/>
              </w:rPr>
              <w:t>455</w:t>
            </w:r>
          </w:p>
        </w:tc>
      </w:tr>
    </w:tbl>
    <w:p w14:paraId="61958ED7" w14:textId="77777777" w:rsidR="0029210A" w:rsidRDefault="0029210A" w:rsidP="004B29AD">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04"/>
        <w:gridCol w:w="7067"/>
      </w:tblGrid>
      <w:tr w:rsidR="00990345" w14:paraId="4882B6CE" w14:textId="77777777" w:rsidTr="00351028">
        <w:trPr>
          <w:cantSplit/>
        </w:trPr>
        <w:tc>
          <w:tcPr>
            <w:tcW w:w="426" w:type="dxa"/>
            <w:tcBorders>
              <w:right w:val="single" w:sz="48" w:space="0" w:color="FFFFFF" w:themeColor="background1"/>
            </w:tcBorders>
            <w:shd w:val="clear" w:color="auto" w:fill="22B893"/>
          </w:tcPr>
          <w:p w14:paraId="4195CB63" w14:textId="77777777" w:rsidR="00990345" w:rsidRDefault="00990345" w:rsidP="00351028"/>
        </w:tc>
        <w:tc>
          <w:tcPr>
            <w:tcW w:w="7371" w:type="dxa"/>
            <w:gridSpan w:val="2"/>
          </w:tcPr>
          <w:p w14:paraId="2AA8636B" w14:textId="77777777" w:rsidR="00990345" w:rsidRPr="00047D6F" w:rsidRDefault="00990345" w:rsidP="00351028">
            <w:pPr>
              <w:pStyle w:val="TableText"/>
              <w:rPr>
                <w:sz w:val="22"/>
                <w:szCs w:val="22"/>
              </w:rPr>
            </w:pPr>
            <w:r w:rsidRPr="0029210A">
              <w:rPr>
                <w:b/>
                <w:sz w:val="22"/>
                <w:szCs w:val="22"/>
              </w:rPr>
              <w:t xml:space="preserve">Focus area: </w:t>
            </w:r>
            <w:r w:rsidR="00047D6F" w:rsidRPr="00047D6F">
              <w:rPr>
                <w:sz w:val="22"/>
                <w:szCs w:val="22"/>
              </w:rPr>
              <w:t xml:space="preserve">Ensure equitable access to immunisation against HPV and </w:t>
            </w:r>
            <w:r w:rsidR="009278A9">
              <w:rPr>
                <w:sz w:val="22"/>
                <w:szCs w:val="22"/>
              </w:rPr>
              <w:t>hepatitis B</w:t>
            </w:r>
            <w:r w:rsidR="00047D6F" w:rsidRPr="00047D6F">
              <w:rPr>
                <w:sz w:val="22"/>
                <w:szCs w:val="22"/>
              </w:rPr>
              <w:t xml:space="preserve"> (primary prevention)</w:t>
            </w:r>
          </w:p>
          <w:p w14:paraId="18FABA2B" w14:textId="77777777" w:rsidR="00047D6F" w:rsidRPr="00047D6F" w:rsidRDefault="00047D6F" w:rsidP="00047D6F">
            <w:pPr>
              <w:pStyle w:val="TableText"/>
              <w:rPr>
                <w:sz w:val="20"/>
              </w:rPr>
            </w:pPr>
            <w:r w:rsidRPr="00047D6F">
              <w:rPr>
                <w:sz w:val="20"/>
              </w:rPr>
              <w:t xml:space="preserve">What is the impact of immunisation for HPV and </w:t>
            </w:r>
            <w:r w:rsidR="009278A9">
              <w:rPr>
                <w:sz w:val="20"/>
              </w:rPr>
              <w:t>hepatitis B</w:t>
            </w:r>
            <w:r w:rsidRPr="00047D6F">
              <w:rPr>
                <w:sz w:val="20"/>
              </w:rPr>
              <w:t xml:space="preserve"> on cancers related to chronic infections?</w:t>
            </w:r>
          </w:p>
          <w:p w14:paraId="65C4C33C" w14:textId="77777777" w:rsidR="00990345" w:rsidRDefault="00047D6F" w:rsidP="00047D6F">
            <w:pPr>
              <w:pStyle w:val="TableText"/>
            </w:pPr>
            <w:r w:rsidRPr="00C000B2">
              <w:t xml:space="preserve">Immunisation is the most effective population-based strategy for preventing cancers related to HPV and chronic </w:t>
            </w:r>
            <w:r w:rsidR="009278A9">
              <w:t>hepatitis B</w:t>
            </w:r>
            <w:r w:rsidRPr="00C000B2">
              <w:t xml:space="preserve"> infections. Universal infant vaccination is considered the most effective way of decreasing chronic </w:t>
            </w:r>
            <w:r w:rsidR="009278A9">
              <w:t>hepatitis B</w:t>
            </w:r>
            <w:r w:rsidRPr="00C000B2">
              <w:t xml:space="preserve"> infection rates.</w:t>
            </w:r>
            <w:r w:rsidRPr="00047D6F">
              <w:rPr>
                <w:vertAlign w:val="superscript"/>
              </w:rPr>
              <w:t>456</w:t>
            </w:r>
          </w:p>
        </w:tc>
      </w:tr>
      <w:tr w:rsidR="00990345" w14:paraId="27A429FF" w14:textId="77777777" w:rsidTr="00351028">
        <w:trPr>
          <w:cantSplit/>
        </w:trPr>
        <w:tc>
          <w:tcPr>
            <w:tcW w:w="426" w:type="dxa"/>
            <w:tcBorders>
              <w:right w:val="single" w:sz="48" w:space="0" w:color="FFFFFF" w:themeColor="background1"/>
            </w:tcBorders>
            <w:shd w:val="clear" w:color="auto" w:fill="22B893"/>
          </w:tcPr>
          <w:p w14:paraId="59ABC6CA" w14:textId="77777777" w:rsidR="00990345" w:rsidRDefault="00990345" w:rsidP="00351028"/>
        </w:tc>
        <w:tc>
          <w:tcPr>
            <w:tcW w:w="304" w:type="dxa"/>
            <w:shd w:val="clear" w:color="auto" w:fill="F37973"/>
          </w:tcPr>
          <w:p w14:paraId="2DF617F0" w14:textId="77777777" w:rsidR="00990345" w:rsidRPr="0029210A" w:rsidRDefault="00990345" w:rsidP="00351028">
            <w:pPr>
              <w:pStyle w:val="TableText"/>
            </w:pPr>
          </w:p>
        </w:tc>
        <w:tc>
          <w:tcPr>
            <w:tcW w:w="7067" w:type="dxa"/>
          </w:tcPr>
          <w:p w14:paraId="550122E2" w14:textId="77777777" w:rsidR="00990345" w:rsidRPr="0029210A" w:rsidRDefault="00047D6F" w:rsidP="00351028">
            <w:pPr>
              <w:pStyle w:val="TableText"/>
              <w:ind w:left="113"/>
            </w:pPr>
            <w:r w:rsidRPr="00C000B2">
              <w:t xml:space="preserve">Māori have lower coverage rates for both HPV and </w:t>
            </w:r>
            <w:r w:rsidR="009278A9">
              <w:t>hepatitis B</w:t>
            </w:r>
            <w:r w:rsidRPr="00C000B2">
              <w:t xml:space="preserve"> immunisation.</w:t>
            </w:r>
            <w:r w:rsidRPr="00047D6F">
              <w:rPr>
                <w:vertAlign w:val="superscript"/>
              </w:rPr>
              <w:t>38</w:t>
            </w:r>
          </w:p>
        </w:tc>
      </w:tr>
    </w:tbl>
    <w:p w14:paraId="5FEBD2B5" w14:textId="77777777" w:rsidR="00990345" w:rsidRPr="00C000B2" w:rsidRDefault="00990345" w:rsidP="00047D6F">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02B96E66" w14:textId="77777777" w:rsidTr="00AB11A2">
        <w:trPr>
          <w:cantSplit/>
        </w:trPr>
        <w:tc>
          <w:tcPr>
            <w:tcW w:w="8080" w:type="dxa"/>
            <w:gridSpan w:val="2"/>
            <w:tcBorders>
              <w:bottom w:val="nil"/>
            </w:tcBorders>
            <w:shd w:val="clear" w:color="auto" w:fill="D7EDE4"/>
          </w:tcPr>
          <w:p w14:paraId="74FF56FF" w14:textId="77777777" w:rsidR="0029210A" w:rsidRPr="00AB3864" w:rsidRDefault="0029210A" w:rsidP="00047D6F">
            <w:pPr>
              <w:pStyle w:val="TableText"/>
              <w:spacing w:before="120"/>
              <w:rPr>
                <w:b/>
                <w:sz w:val="22"/>
                <w:szCs w:val="22"/>
              </w:rPr>
            </w:pPr>
            <w:r w:rsidRPr="00AB3864">
              <w:rPr>
                <w:b/>
                <w:sz w:val="22"/>
                <w:szCs w:val="22"/>
              </w:rPr>
              <w:t xml:space="preserve">Action: </w:t>
            </w:r>
            <w:r w:rsidR="001E1A6C" w:rsidRPr="001E1A6C">
              <w:rPr>
                <w:sz w:val="22"/>
                <w:szCs w:val="22"/>
              </w:rPr>
              <w:t>Ensure equitable HPV immunisation coverage for all population groups</w:t>
            </w:r>
          </w:p>
        </w:tc>
      </w:tr>
      <w:tr w:rsidR="0029210A" w14:paraId="55DED58F" w14:textId="77777777" w:rsidTr="00047D6F">
        <w:trPr>
          <w:cantSplit/>
        </w:trPr>
        <w:tc>
          <w:tcPr>
            <w:tcW w:w="4040" w:type="dxa"/>
            <w:tcBorders>
              <w:top w:val="nil"/>
              <w:bottom w:val="single" w:sz="8" w:space="0" w:color="22B893"/>
              <w:right w:val="dashed" w:sz="4" w:space="0" w:color="22B893"/>
            </w:tcBorders>
          </w:tcPr>
          <w:p w14:paraId="1ECCF8FA" w14:textId="77777777" w:rsidR="0029210A" w:rsidRPr="00AB3864" w:rsidRDefault="0029210A" w:rsidP="00AB11A2">
            <w:pPr>
              <w:pStyle w:val="TableText"/>
              <w:ind w:right="142"/>
              <w:rPr>
                <w:sz w:val="20"/>
              </w:rPr>
            </w:pPr>
            <w:r w:rsidRPr="00AB3864">
              <w:rPr>
                <w:sz w:val="20"/>
              </w:rPr>
              <w:t>What is the evidence?</w:t>
            </w:r>
          </w:p>
          <w:p w14:paraId="387851F6" w14:textId="77777777" w:rsidR="001E1A6C" w:rsidRPr="00C000B2" w:rsidRDefault="001E1A6C" w:rsidP="001E1A6C">
            <w:pPr>
              <w:pStyle w:val="TableText"/>
              <w:ind w:right="113"/>
            </w:pPr>
            <w:r w:rsidRPr="00C000B2">
              <w:t>Clinical studies have demonstrated effective antibody responses in 99 percent of those who received the HPV vaccine</w:t>
            </w:r>
            <w:r w:rsidRPr="001E1A6C">
              <w:rPr>
                <w:vertAlign w:val="superscript"/>
              </w:rPr>
              <w:t>409</w:t>
            </w:r>
            <w:r w:rsidRPr="00C000B2">
              <w:t xml:space="preserve"> and 98</w:t>
            </w:r>
            <w:r>
              <w:t> </w:t>
            </w:r>
            <w:r w:rsidRPr="00C000B2">
              <w:t>percent protection against development of HPV-related precancerous lesions.</w:t>
            </w:r>
            <w:r w:rsidRPr="001E1A6C">
              <w:rPr>
                <w:vertAlign w:val="superscript"/>
              </w:rPr>
              <w:t>409</w:t>
            </w:r>
          </w:p>
          <w:p w14:paraId="7AED0B40" w14:textId="1B815F06" w:rsidR="001E1A6C" w:rsidRPr="00C000B2" w:rsidRDefault="001E1A6C" w:rsidP="001E1A6C">
            <w:pPr>
              <w:pStyle w:val="TableText"/>
              <w:ind w:right="113"/>
            </w:pPr>
            <w:r w:rsidRPr="00C000B2">
              <w:t>HPV vaccination reduces the incidence of invasive cervical cancer in women aged 30</w:t>
            </w:r>
            <w:r>
              <w:t> </w:t>
            </w:r>
            <w:r w:rsidRPr="00C000B2">
              <w:t>years or under.</w:t>
            </w:r>
            <w:r w:rsidRPr="001E1A6C">
              <w:rPr>
                <w:vertAlign w:val="superscript"/>
              </w:rPr>
              <w:t>457</w:t>
            </w:r>
            <w:r w:rsidRPr="00C000B2">
              <w:t xml:space="preserve"> Cancer risk fell by </w:t>
            </w:r>
            <w:r w:rsidR="00D657A2">
              <w:t>8</w:t>
            </w:r>
            <w:r w:rsidRPr="00C000B2">
              <w:t>8</w:t>
            </w:r>
            <w:r>
              <w:t> </w:t>
            </w:r>
            <w:r w:rsidRPr="00C000B2">
              <w:t>percent for women vaccinated before the age of 17 and by 53</w:t>
            </w:r>
            <w:r>
              <w:t> </w:t>
            </w:r>
            <w:r w:rsidRPr="00C000B2">
              <w:t>percent for women vaccinated between the ages of 17 and 30</w:t>
            </w:r>
            <w:r>
              <w:t> </w:t>
            </w:r>
            <w:r w:rsidRPr="00C000B2">
              <w:t>years in a Swedish study.</w:t>
            </w:r>
            <w:r w:rsidRPr="001E1A6C">
              <w:rPr>
                <w:vertAlign w:val="superscript"/>
              </w:rPr>
              <w:t>457</w:t>
            </w:r>
          </w:p>
          <w:p w14:paraId="72D5A1FD" w14:textId="77777777" w:rsidR="0029210A" w:rsidRDefault="001E1A6C" w:rsidP="001E1A6C">
            <w:pPr>
              <w:pStyle w:val="TableText"/>
              <w:ind w:right="113"/>
            </w:pPr>
            <w:r w:rsidRPr="00C000B2">
              <w:t>HPV vaccination has effectively reduced diagnoses of HPV infections and genital warts in vaccinated populations.</w:t>
            </w:r>
            <w:r w:rsidRPr="001E1A6C">
              <w:rPr>
                <w:vertAlign w:val="superscript"/>
              </w:rPr>
              <w:t>458</w:t>
            </w:r>
            <w:r w:rsidRPr="00C000B2">
              <w:t xml:space="preserve"> Additionally, there is evidence of herd immunity in unvaccinated men and women.</w:t>
            </w:r>
            <w:r w:rsidRPr="001E1A6C">
              <w:rPr>
                <w:vertAlign w:val="superscript"/>
              </w:rPr>
              <w:t>458</w:t>
            </w:r>
          </w:p>
        </w:tc>
        <w:tc>
          <w:tcPr>
            <w:tcW w:w="4040" w:type="dxa"/>
            <w:tcBorders>
              <w:top w:val="nil"/>
              <w:left w:val="dashed" w:sz="4" w:space="0" w:color="22B893"/>
              <w:bottom w:val="single" w:sz="8" w:space="0" w:color="22B893"/>
            </w:tcBorders>
          </w:tcPr>
          <w:p w14:paraId="08B45DFA" w14:textId="77777777" w:rsidR="0029210A" w:rsidRPr="00AB3864" w:rsidRDefault="0029210A" w:rsidP="00AB11A2">
            <w:pPr>
              <w:pStyle w:val="TableText"/>
              <w:ind w:left="113"/>
              <w:rPr>
                <w:sz w:val="20"/>
              </w:rPr>
            </w:pPr>
            <w:r w:rsidRPr="00AB3864">
              <w:rPr>
                <w:sz w:val="20"/>
              </w:rPr>
              <w:t>What is Aotearoa doing currently?</w:t>
            </w:r>
          </w:p>
          <w:p w14:paraId="0A85E510" w14:textId="77777777" w:rsidR="001E1A6C" w:rsidRPr="00C000B2" w:rsidRDefault="001E1A6C" w:rsidP="001E1A6C">
            <w:pPr>
              <w:pStyle w:val="TableText"/>
              <w:ind w:left="113"/>
            </w:pPr>
            <w:r w:rsidRPr="00C000B2">
              <w:t>In Aotearoa, HPV immunisation has been available for girls since 2008 and for boys since 2017. The vaccine protects against the types of HPV responsible for around 90</w:t>
            </w:r>
            <w:r>
              <w:t> </w:t>
            </w:r>
            <w:r w:rsidRPr="00C000B2">
              <w:t>percent of cervical and other HPV-related cancers.</w:t>
            </w:r>
            <w:r w:rsidRPr="001E1A6C">
              <w:rPr>
                <w:vertAlign w:val="superscript"/>
              </w:rPr>
              <w:t>409</w:t>
            </w:r>
            <w:r w:rsidRPr="00C000B2">
              <w:t xml:space="preserve"> HPV</w:t>
            </w:r>
            <w:r>
              <w:t xml:space="preserve"> </w:t>
            </w:r>
            <w:r w:rsidRPr="00C000B2">
              <w:t>immunisation is free for all young people aged 9 to 26 years, including non-residents under 18 years old. A school-based immunisation programme for students in Year 8 is available in most areas of Aotearoa.</w:t>
            </w:r>
          </w:p>
          <w:p w14:paraId="4DB154DA" w14:textId="77777777" w:rsidR="001E1A6C" w:rsidRPr="00C000B2" w:rsidRDefault="001E1A6C" w:rsidP="001E1A6C">
            <w:pPr>
              <w:pStyle w:val="TableText"/>
              <w:ind w:left="113"/>
            </w:pPr>
            <w:r w:rsidRPr="00C000B2">
              <w:t>Since 2008, rates of HPV-related genital wart infection have fallen substantially, suggesting it is likely that an overall reduction in HPV prevalence in Aotearoa has occurred.</w:t>
            </w:r>
            <w:r w:rsidRPr="001E1A6C">
              <w:rPr>
                <w:vertAlign w:val="superscript"/>
              </w:rPr>
              <w:t>459</w:t>
            </w:r>
            <w:r w:rsidRPr="00C000B2">
              <w:t xml:space="preserve"> Although cervical cancer rates have reduced substantially over the last 20 years, it is too early to attribute this to the immunisation programme. This is because it takes 10–15 years for such cancers to develop.</w:t>
            </w:r>
          </w:p>
          <w:p w14:paraId="27111852" w14:textId="77777777" w:rsidR="0029210A" w:rsidRDefault="001E1A6C" w:rsidP="001E1A6C">
            <w:pPr>
              <w:pStyle w:val="TableText"/>
              <w:ind w:left="113"/>
            </w:pPr>
            <w:r w:rsidRPr="00C000B2">
              <w:t>Currently, recommended levels of vaccine coverage</w:t>
            </w:r>
            <w:r>
              <w:t xml:space="preserve"> </w:t>
            </w:r>
            <w:r w:rsidRPr="00C000B2">
              <w:t>(75 percent) have not been achieved for any ethnic group. Immunisation rates are significantly lower for Māori girls and boys compared with other ethnic groups (</w:t>
            </w:r>
            <w:r>
              <w:fldChar w:fldCharType="begin"/>
            </w:r>
            <w:r>
              <w:instrText xml:space="preserve"> REF _Ref94874877 \h </w:instrText>
            </w:r>
            <w:r>
              <w:fldChar w:fldCharType="separate"/>
            </w:r>
            <w:r w:rsidR="006E6019">
              <w:t>Figure </w:t>
            </w:r>
            <w:r w:rsidR="006E6019">
              <w:rPr>
                <w:noProof/>
              </w:rPr>
              <w:t>36</w:t>
            </w:r>
            <w:r>
              <w:fldChar w:fldCharType="end"/>
            </w:r>
            <w:r w:rsidRPr="00C000B2">
              <w:t>).</w:t>
            </w:r>
          </w:p>
        </w:tc>
      </w:tr>
    </w:tbl>
    <w:p w14:paraId="60B3ABA2" w14:textId="77777777" w:rsidR="0029210A" w:rsidRPr="00C000B2" w:rsidRDefault="0029210A" w:rsidP="001E1A6C">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25AAED53" w14:textId="77777777" w:rsidTr="00AB11A2">
        <w:trPr>
          <w:cantSplit/>
        </w:trPr>
        <w:tc>
          <w:tcPr>
            <w:tcW w:w="8080" w:type="dxa"/>
            <w:gridSpan w:val="2"/>
            <w:tcBorders>
              <w:bottom w:val="nil"/>
            </w:tcBorders>
            <w:shd w:val="clear" w:color="auto" w:fill="D7EDE4"/>
          </w:tcPr>
          <w:p w14:paraId="67CC5A23" w14:textId="77777777" w:rsidR="0029210A" w:rsidRPr="00AB3864" w:rsidRDefault="0029210A" w:rsidP="001E1A6C">
            <w:pPr>
              <w:pStyle w:val="TableText"/>
              <w:keepNext/>
              <w:spacing w:before="120"/>
              <w:rPr>
                <w:b/>
                <w:sz w:val="22"/>
                <w:szCs w:val="22"/>
              </w:rPr>
            </w:pPr>
            <w:r w:rsidRPr="00AB3864">
              <w:rPr>
                <w:b/>
                <w:sz w:val="22"/>
                <w:szCs w:val="22"/>
              </w:rPr>
              <w:lastRenderedPageBreak/>
              <w:t xml:space="preserve">Action: </w:t>
            </w:r>
            <w:r w:rsidR="001E1A6C" w:rsidRPr="001E1A6C">
              <w:rPr>
                <w:sz w:val="22"/>
                <w:szCs w:val="22"/>
              </w:rPr>
              <w:t xml:space="preserve">Ensure equitable </w:t>
            </w:r>
            <w:r w:rsidR="009278A9">
              <w:rPr>
                <w:sz w:val="22"/>
                <w:szCs w:val="22"/>
              </w:rPr>
              <w:t>hepatitis B</w:t>
            </w:r>
            <w:r w:rsidR="001E1A6C" w:rsidRPr="001E1A6C">
              <w:rPr>
                <w:sz w:val="22"/>
                <w:szCs w:val="22"/>
              </w:rPr>
              <w:t xml:space="preserve"> immunisation coverage for all population groups</w:t>
            </w:r>
          </w:p>
        </w:tc>
      </w:tr>
      <w:tr w:rsidR="0029210A" w14:paraId="41567C14" w14:textId="77777777" w:rsidTr="00047D6F">
        <w:trPr>
          <w:cantSplit/>
        </w:trPr>
        <w:tc>
          <w:tcPr>
            <w:tcW w:w="4040" w:type="dxa"/>
            <w:tcBorders>
              <w:top w:val="nil"/>
              <w:bottom w:val="single" w:sz="8" w:space="0" w:color="22B893"/>
              <w:right w:val="dashed" w:sz="4" w:space="0" w:color="22B893"/>
            </w:tcBorders>
          </w:tcPr>
          <w:p w14:paraId="295F3F41" w14:textId="77777777" w:rsidR="0029210A" w:rsidRPr="00AB3864" w:rsidRDefault="0029210A" w:rsidP="00AB11A2">
            <w:pPr>
              <w:pStyle w:val="TableText"/>
              <w:ind w:right="142"/>
              <w:rPr>
                <w:sz w:val="20"/>
              </w:rPr>
            </w:pPr>
            <w:r w:rsidRPr="00AB3864">
              <w:rPr>
                <w:sz w:val="20"/>
              </w:rPr>
              <w:t>What is the evidence?</w:t>
            </w:r>
          </w:p>
          <w:p w14:paraId="460A59A2" w14:textId="77777777" w:rsidR="001E1A6C" w:rsidRPr="00C000B2" w:rsidRDefault="009278A9" w:rsidP="001E1A6C">
            <w:pPr>
              <w:pStyle w:val="TableText"/>
              <w:ind w:right="113"/>
            </w:pPr>
            <w:r>
              <w:t>Hepatitis B</w:t>
            </w:r>
            <w:r w:rsidR="001E1A6C" w:rsidRPr="00C000B2">
              <w:t xml:space="preserve"> vaccines are highly effective and provide lifelong immunity for</w:t>
            </w:r>
            <w:r w:rsidR="001E1A6C">
              <w:t xml:space="preserve"> </w:t>
            </w:r>
            <w:r w:rsidR="001E1A6C" w:rsidRPr="00C000B2">
              <w:t>85–95 percent of people who receive the vaccine.</w:t>
            </w:r>
            <w:r w:rsidR="001E1A6C" w:rsidRPr="001E1A6C">
              <w:rPr>
                <w:vertAlign w:val="superscript"/>
              </w:rPr>
              <w:t>409</w:t>
            </w:r>
          </w:p>
          <w:p w14:paraId="161D7E76" w14:textId="77777777" w:rsidR="001E1A6C" w:rsidRPr="00C000B2" w:rsidRDefault="001E1A6C" w:rsidP="001E1A6C">
            <w:pPr>
              <w:pStyle w:val="TableText"/>
              <w:ind w:right="113"/>
            </w:pPr>
            <w:r w:rsidRPr="00C000B2">
              <w:t xml:space="preserve">Children and adolescents who are fully immunised against </w:t>
            </w:r>
            <w:r w:rsidR="009278A9">
              <w:t>hepatitis B</w:t>
            </w:r>
            <w:r w:rsidRPr="00C000B2">
              <w:t xml:space="preserve"> have a significantly lower risk of liver cancer than their unimmunised cohorts.</w:t>
            </w:r>
            <w:r w:rsidRPr="001E1A6C">
              <w:rPr>
                <w:vertAlign w:val="superscript"/>
              </w:rPr>
              <w:t>460</w:t>
            </w:r>
          </w:p>
          <w:p w14:paraId="048929D8" w14:textId="77777777" w:rsidR="0029210A" w:rsidRDefault="001E1A6C" w:rsidP="001E1A6C">
            <w:pPr>
              <w:pStyle w:val="TableText"/>
              <w:ind w:right="113"/>
            </w:pPr>
            <w:r w:rsidRPr="00C000B2">
              <w:t xml:space="preserve">Seroprevalence surveys in the Western Pacific and Taiwan show a substantial reduction in the prevalence of chronic </w:t>
            </w:r>
            <w:r w:rsidR="009278A9">
              <w:t>hepatitis B</w:t>
            </w:r>
            <w:r w:rsidRPr="00C000B2">
              <w:t xml:space="preserve"> infection in children following the introduction of universal </w:t>
            </w:r>
            <w:r w:rsidR="009278A9">
              <w:t>hepatitis B</w:t>
            </w:r>
            <w:r w:rsidRPr="00C000B2">
              <w:t xml:space="preserve"> vaccination programmes.</w:t>
            </w:r>
            <w:r w:rsidRPr="001E1A6C">
              <w:rPr>
                <w:vertAlign w:val="superscript"/>
              </w:rPr>
              <w:t>460, 461</w:t>
            </w:r>
            <w:r w:rsidRPr="00C000B2">
              <w:t xml:space="preserve"> However, more follow-up is needed to find out whether this initial lower prevalence continues for these children into late adulthood.</w:t>
            </w:r>
          </w:p>
        </w:tc>
        <w:tc>
          <w:tcPr>
            <w:tcW w:w="4040" w:type="dxa"/>
            <w:tcBorders>
              <w:top w:val="nil"/>
              <w:left w:val="dashed" w:sz="4" w:space="0" w:color="22B893"/>
              <w:bottom w:val="single" w:sz="8" w:space="0" w:color="22B893"/>
            </w:tcBorders>
          </w:tcPr>
          <w:p w14:paraId="1D17070E" w14:textId="77777777" w:rsidR="0029210A" w:rsidRPr="00AB3864" w:rsidRDefault="0029210A" w:rsidP="00AB11A2">
            <w:pPr>
              <w:pStyle w:val="TableText"/>
              <w:ind w:left="113"/>
              <w:rPr>
                <w:sz w:val="20"/>
              </w:rPr>
            </w:pPr>
            <w:r w:rsidRPr="00AB3864">
              <w:rPr>
                <w:sz w:val="20"/>
              </w:rPr>
              <w:t>What is Aotearoa doing currently?</w:t>
            </w:r>
          </w:p>
          <w:p w14:paraId="177677C9" w14:textId="77777777" w:rsidR="001E1A6C" w:rsidRPr="00C000B2" w:rsidRDefault="001E1A6C" w:rsidP="001E1A6C">
            <w:pPr>
              <w:pStyle w:val="TableText"/>
              <w:ind w:left="113"/>
            </w:pPr>
            <w:r w:rsidRPr="00C000B2">
              <w:t xml:space="preserve">In 1988, Aotearoa introduced </w:t>
            </w:r>
            <w:r w:rsidR="009278A9">
              <w:t>hepatitis B</w:t>
            </w:r>
            <w:r w:rsidRPr="00C000B2">
              <w:t xml:space="preserve"> immunisation for infants. Presently, infants receive their </w:t>
            </w:r>
            <w:r w:rsidR="009278A9">
              <w:t>hepatitis B</w:t>
            </w:r>
            <w:r w:rsidRPr="00C000B2">
              <w:t xml:space="preserve"> vaccination (DTaP</w:t>
            </w:r>
            <w:r>
              <w:noBreakHyphen/>
            </w:r>
            <w:r w:rsidRPr="00C000B2">
              <w:t>IPV-</w:t>
            </w:r>
            <w:proofErr w:type="spellStart"/>
            <w:r w:rsidRPr="00C000B2">
              <w:t>HepB</w:t>
            </w:r>
            <w:proofErr w:type="spellEnd"/>
            <w:r w:rsidRPr="00C000B2">
              <w:t xml:space="preserve">/Hib) at six weeks, three </w:t>
            </w:r>
            <w:proofErr w:type="gramStart"/>
            <w:r w:rsidRPr="00C000B2">
              <w:t>months</w:t>
            </w:r>
            <w:proofErr w:type="gramEnd"/>
            <w:r w:rsidRPr="00C000B2">
              <w:t xml:space="preserve"> and five months of age as part of the national immunisation schedule. </w:t>
            </w:r>
            <w:r w:rsidR="009278A9">
              <w:t>Hepatitis B</w:t>
            </w:r>
            <w:r w:rsidRPr="00C000B2">
              <w:t xml:space="preserve"> vaccination is also subsidised for unimmunised under 18-year-olds, </w:t>
            </w:r>
            <w:proofErr w:type="gramStart"/>
            <w:r w:rsidRPr="00C000B2">
              <w:t>household</w:t>
            </w:r>
            <w:proofErr w:type="gramEnd"/>
            <w:r w:rsidRPr="00C000B2">
              <w:t xml:space="preserve"> or sexual contacts of people with </w:t>
            </w:r>
            <w:r w:rsidR="009278A9">
              <w:t>hepatitis B</w:t>
            </w:r>
            <w:r w:rsidRPr="00C000B2">
              <w:t xml:space="preserve"> infection, people with HIV or </w:t>
            </w:r>
            <w:r w:rsidR="009278A9">
              <w:t>hepatitis C</w:t>
            </w:r>
            <w:r w:rsidRPr="00C000B2">
              <w:t xml:space="preserve"> infection, and those who have had a needlestick injury.</w:t>
            </w:r>
            <w:r w:rsidRPr="001E1A6C">
              <w:rPr>
                <w:vertAlign w:val="superscript"/>
              </w:rPr>
              <w:t>395</w:t>
            </w:r>
          </w:p>
          <w:p w14:paraId="36DE0960" w14:textId="77777777" w:rsidR="001E1A6C" w:rsidRPr="00C000B2" w:rsidRDefault="001E1A6C" w:rsidP="001E1A6C">
            <w:pPr>
              <w:pStyle w:val="TableText"/>
              <w:ind w:left="113"/>
            </w:pPr>
            <w:r w:rsidRPr="00C000B2">
              <w:t xml:space="preserve">Since 1988, the number of notifications of new </w:t>
            </w:r>
            <w:r w:rsidR="009278A9">
              <w:t>hepatitis B</w:t>
            </w:r>
            <w:r w:rsidRPr="00C000B2">
              <w:t xml:space="preserve"> infections in Aotearoa has fallen dramatically.</w:t>
            </w:r>
            <w:r w:rsidRPr="001E1A6C">
              <w:rPr>
                <w:vertAlign w:val="superscript"/>
              </w:rPr>
              <w:t>38</w:t>
            </w:r>
            <w:r w:rsidRPr="00C000B2">
              <w:t xml:space="preserve"> However, as many infections do not cause symptoms, this may underestimate the true burden of disease.</w:t>
            </w:r>
          </w:p>
          <w:p w14:paraId="7F1A79EB" w14:textId="77777777" w:rsidR="001E1A6C" w:rsidRPr="00C000B2" w:rsidRDefault="001E1A6C" w:rsidP="001E1A6C">
            <w:pPr>
              <w:pStyle w:val="TableText"/>
              <w:ind w:left="113"/>
            </w:pPr>
            <w:r w:rsidRPr="00C000B2">
              <w:t>As Aotearoa does not routinely conduct seroprevalence surveys, the impact of immunisation on the prevalence of chronic infections is unknown. To date, the number of liver cancer cases has not decreased. However, because it takes many decades</w:t>
            </w:r>
            <w:r>
              <w:t xml:space="preserve"> </w:t>
            </w:r>
            <w:r w:rsidRPr="00C000B2">
              <w:t>for cancer to develop, it is predicted that it will be about 2030 before Aotearoa has a significant reduction in the number of liver cancer cases.</w:t>
            </w:r>
            <w:r w:rsidRPr="001E1A6C">
              <w:rPr>
                <w:vertAlign w:val="superscript"/>
              </w:rPr>
              <w:t>409</w:t>
            </w:r>
          </w:p>
          <w:p w14:paraId="35C4289A" w14:textId="77777777" w:rsidR="0029210A" w:rsidRDefault="001E1A6C" w:rsidP="001E1A6C">
            <w:pPr>
              <w:pStyle w:val="TableText"/>
              <w:ind w:left="113"/>
            </w:pPr>
            <w:r w:rsidRPr="00C000B2">
              <w:t>Currently, immunisation rates are high, with more than</w:t>
            </w:r>
            <w:r>
              <w:t xml:space="preserve"> </w:t>
            </w:r>
            <w:r w:rsidRPr="00C000B2">
              <w:t>90 percent of two-year olds fully immunised between 2016</w:t>
            </w:r>
            <w:r>
              <w:t xml:space="preserve"> </w:t>
            </w:r>
            <w:r w:rsidRPr="00C000B2">
              <w:t>and 2018. Immunisation rates for Māori infants have fallen from 94 percent in 2018 to 90 percent in 2020 (</w:t>
            </w:r>
            <w:r>
              <w:fldChar w:fldCharType="begin"/>
            </w:r>
            <w:r>
              <w:instrText xml:space="preserve"> REF _Ref94875055 \h </w:instrText>
            </w:r>
            <w:r>
              <w:fldChar w:fldCharType="separate"/>
            </w:r>
            <w:r w:rsidR="006E6019">
              <w:t>Figure </w:t>
            </w:r>
            <w:r w:rsidR="006E6019">
              <w:rPr>
                <w:noProof/>
              </w:rPr>
              <w:t>37</w:t>
            </w:r>
            <w:r>
              <w:fldChar w:fldCharType="end"/>
            </w:r>
            <w:r w:rsidRPr="00C000B2">
              <w:t>).</w:t>
            </w:r>
          </w:p>
        </w:tc>
      </w:tr>
    </w:tbl>
    <w:p w14:paraId="2DE2E6D4" w14:textId="77777777" w:rsidR="0029210A" w:rsidRPr="00C000B2" w:rsidRDefault="0029210A" w:rsidP="001E1A6C">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8D0C7A" w14:paraId="0D33E5DA" w14:textId="77777777" w:rsidTr="00351028">
        <w:trPr>
          <w:cantSplit/>
        </w:trPr>
        <w:tc>
          <w:tcPr>
            <w:tcW w:w="426" w:type="dxa"/>
            <w:tcBorders>
              <w:right w:val="single" w:sz="48" w:space="0" w:color="FFFFFF" w:themeColor="background1"/>
            </w:tcBorders>
            <w:shd w:val="clear" w:color="auto" w:fill="22B893"/>
          </w:tcPr>
          <w:p w14:paraId="74BE2B81" w14:textId="77777777" w:rsidR="008D0C7A" w:rsidRDefault="00EF27EC" w:rsidP="00351028">
            <w:r w:rsidRPr="00C000B2">
              <w:rPr>
                <w:noProof/>
                <w:lang w:eastAsia="en-NZ"/>
              </w:rPr>
              <mc:AlternateContent>
                <mc:Choice Requires="wps">
                  <w:drawing>
                    <wp:anchor distT="0" distB="0" distL="114300" distR="114300" simplePos="0" relativeHeight="252129280" behindDoc="1" locked="0" layoutInCell="1" allowOverlap="1" wp14:anchorId="2B3E018A" wp14:editId="3BFE91C2">
                      <wp:simplePos x="0" y="0"/>
                      <wp:positionH relativeFrom="page">
                        <wp:posOffset>3197860</wp:posOffset>
                      </wp:positionH>
                      <wp:positionV relativeFrom="page">
                        <wp:posOffset>5605145</wp:posOffset>
                      </wp:positionV>
                      <wp:extent cx="12700" cy="12700"/>
                      <wp:effectExtent l="6985" t="4445" r="8890" b="1905"/>
                      <wp:wrapNone/>
                      <wp:docPr id="97" name="Freeform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036 5036"/>
                                  <a:gd name="T1" fmla="*/ T0 w 20"/>
                                  <a:gd name="T2" fmla="+- 0 8837 8827"/>
                                  <a:gd name="T3" fmla="*/ 8837 h 20"/>
                                  <a:gd name="T4" fmla="+- 0 5039 5036"/>
                                  <a:gd name="T5" fmla="*/ T4 w 20"/>
                                  <a:gd name="T6" fmla="+- 0 8830 8827"/>
                                  <a:gd name="T7" fmla="*/ 8830 h 20"/>
                                  <a:gd name="T8" fmla="+- 0 5046 5036"/>
                                  <a:gd name="T9" fmla="*/ T8 w 20"/>
                                  <a:gd name="T10" fmla="+- 0 8827 8827"/>
                                  <a:gd name="T11" fmla="*/ 8827 h 20"/>
                                  <a:gd name="T12" fmla="+- 0 5053 5036"/>
                                  <a:gd name="T13" fmla="*/ T12 w 20"/>
                                  <a:gd name="T14" fmla="+- 0 8830 8827"/>
                                  <a:gd name="T15" fmla="*/ 8830 h 20"/>
                                  <a:gd name="T16" fmla="+- 0 5056 5036"/>
                                  <a:gd name="T17" fmla="*/ T16 w 20"/>
                                  <a:gd name="T18" fmla="+- 0 8837 8827"/>
                                  <a:gd name="T19" fmla="*/ 8837 h 20"/>
                                  <a:gd name="T20" fmla="+- 0 5053 5036"/>
                                  <a:gd name="T21" fmla="*/ T20 w 20"/>
                                  <a:gd name="T22" fmla="+- 0 8844 8827"/>
                                  <a:gd name="T23" fmla="*/ 8844 h 20"/>
                                  <a:gd name="T24" fmla="+- 0 5046 5036"/>
                                  <a:gd name="T25" fmla="*/ T24 w 20"/>
                                  <a:gd name="T26" fmla="+- 0 8847 8827"/>
                                  <a:gd name="T27" fmla="*/ 8847 h 20"/>
                                  <a:gd name="T28" fmla="+- 0 5039 5036"/>
                                  <a:gd name="T29" fmla="*/ T28 w 20"/>
                                  <a:gd name="T30" fmla="+- 0 8844 8827"/>
                                  <a:gd name="T31" fmla="*/ 8844 h 20"/>
                                  <a:gd name="T32" fmla="+- 0 5036 5036"/>
                                  <a:gd name="T33" fmla="*/ T32 w 20"/>
                                  <a:gd name="T34" fmla="+- 0 8837 8827"/>
                                  <a:gd name="T35" fmla="*/ 883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6C182" id="Freeform 97" o:spid="_x0000_s1026" alt="&quot;&quot;" style="position:absolute;margin-left:251.8pt;margin-top:441.35pt;width:1pt;height:1pt;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" path="m,10l3,3,10,r7,3l20,10r-3,7l10,20,3,17,,10xe" fillcolor="#22b893" stroked="f">
                      <v:path arrowok="t" o:connecttype="custom" o:connectlocs="0,5611495;1905,5607050;6350,5605145;10795,5607050;12700,5611495;10795,5615940;6350,5617845;1905,5615940;0,5611495"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130304" behindDoc="1" locked="0" layoutInCell="1" allowOverlap="1" wp14:anchorId="65F08301" wp14:editId="302A902D">
                      <wp:simplePos x="0" y="0"/>
                      <wp:positionH relativeFrom="page">
                        <wp:posOffset>3197860</wp:posOffset>
                      </wp:positionH>
                      <wp:positionV relativeFrom="page">
                        <wp:posOffset>1301750</wp:posOffset>
                      </wp:positionV>
                      <wp:extent cx="12700" cy="12700"/>
                      <wp:effectExtent l="6985" t="6350" r="8890" b="0"/>
                      <wp:wrapNone/>
                      <wp:docPr id="96" name="Freeform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036 5036"/>
                                  <a:gd name="T1" fmla="*/ T0 w 20"/>
                                  <a:gd name="T2" fmla="+- 0 2060 2050"/>
                                  <a:gd name="T3" fmla="*/ 2060 h 20"/>
                                  <a:gd name="T4" fmla="+- 0 5039 5036"/>
                                  <a:gd name="T5" fmla="*/ T4 w 20"/>
                                  <a:gd name="T6" fmla="+- 0 2053 2050"/>
                                  <a:gd name="T7" fmla="*/ 2053 h 20"/>
                                  <a:gd name="T8" fmla="+- 0 5046 5036"/>
                                  <a:gd name="T9" fmla="*/ T8 w 20"/>
                                  <a:gd name="T10" fmla="+- 0 2050 2050"/>
                                  <a:gd name="T11" fmla="*/ 2050 h 20"/>
                                  <a:gd name="T12" fmla="+- 0 5053 5036"/>
                                  <a:gd name="T13" fmla="*/ T12 w 20"/>
                                  <a:gd name="T14" fmla="+- 0 2053 2050"/>
                                  <a:gd name="T15" fmla="*/ 2053 h 20"/>
                                  <a:gd name="T16" fmla="+- 0 5056 5036"/>
                                  <a:gd name="T17" fmla="*/ T16 w 20"/>
                                  <a:gd name="T18" fmla="+- 0 2060 2050"/>
                                  <a:gd name="T19" fmla="*/ 2060 h 20"/>
                                  <a:gd name="T20" fmla="+- 0 5053 5036"/>
                                  <a:gd name="T21" fmla="*/ T20 w 20"/>
                                  <a:gd name="T22" fmla="+- 0 2067 2050"/>
                                  <a:gd name="T23" fmla="*/ 2067 h 20"/>
                                  <a:gd name="T24" fmla="+- 0 5046 5036"/>
                                  <a:gd name="T25" fmla="*/ T24 w 20"/>
                                  <a:gd name="T26" fmla="+- 0 2070 2050"/>
                                  <a:gd name="T27" fmla="*/ 2070 h 20"/>
                                  <a:gd name="T28" fmla="+- 0 5039 5036"/>
                                  <a:gd name="T29" fmla="*/ T28 w 20"/>
                                  <a:gd name="T30" fmla="+- 0 2067 2050"/>
                                  <a:gd name="T31" fmla="*/ 2067 h 20"/>
                                  <a:gd name="T32" fmla="+- 0 5036 5036"/>
                                  <a:gd name="T33" fmla="*/ T32 w 20"/>
                                  <a:gd name="T34" fmla="+- 0 2060 2050"/>
                                  <a:gd name="T35" fmla="*/ 206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CAFE7" id="Freeform 96" o:spid="_x0000_s1026" alt="&quot;&quot;" style="position:absolute;margin-left:251.8pt;margin-top:102.5pt;width:1pt;height:1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" path="m,10l3,3,10,r7,3l20,10r-3,7l10,20,3,17,,10xe" fillcolor="#22b893" stroked="f">
                      <v:path arrowok="t" o:connecttype="custom" o:connectlocs="0,1308100;1905,1303655;6350,1301750;10795,1303655;12700,1308100;10795,1312545;6350,1314450;1905,1312545;0,1308100" o:connectangles="0,0,0,0,0,0,0,0,0"/>
                      <w10:wrap anchorx="page" anchory="page"/>
                    </v:shape>
                  </w:pict>
                </mc:Fallback>
              </mc:AlternateContent>
            </w:r>
          </w:p>
        </w:tc>
        <w:tc>
          <w:tcPr>
            <w:tcW w:w="7371" w:type="dxa"/>
          </w:tcPr>
          <w:p w14:paraId="3E97E18F" w14:textId="77777777" w:rsidR="008D0C7A" w:rsidRDefault="008D0C7A" w:rsidP="00047D6F">
            <w:pPr>
              <w:pStyle w:val="TableText"/>
              <w:rPr>
                <w:sz w:val="22"/>
                <w:szCs w:val="22"/>
              </w:rPr>
            </w:pPr>
            <w:r w:rsidRPr="0029210A">
              <w:rPr>
                <w:b/>
                <w:sz w:val="22"/>
                <w:szCs w:val="22"/>
              </w:rPr>
              <w:t xml:space="preserve">Focus area: </w:t>
            </w:r>
            <w:r w:rsidR="00047D6F" w:rsidRPr="00047D6F">
              <w:rPr>
                <w:sz w:val="22"/>
                <w:szCs w:val="22"/>
              </w:rPr>
              <w:t>Ensure equitable access to pre-exposure and post-exposure prophylaxis for HIV</w:t>
            </w:r>
          </w:p>
          <w:p w14:paraId="63B501CA" w14:textId="77777777" w:rsidR="008A788A" w:rsidRPr="008A788A" w:rsidRDefault="008A788A" w:rsidP="008A788A">
            <w:pPr>
              <w:pStyle w:val="TableText"/>
              <w:rPr>
                <w:sz w:val="20"/>
              </w:rPr>
            </w:pPr>
            <w:r w:rsidRPr="008A788A">
              <w:rPr>
                <w:sz w:val="20"/>
              </w:rPr>
              <w:t>What is the impact of pre-exposure and post-exposure prophylaxis treatments on acquiring HIV infections?</w:t>
            </w:r>
          </w:p>
          <w:p w14:paraId="3212903B" w14:textId="77777777" w:rsidR="008A788A" w:rsidRDefault="008A788A" w:rsidP="008A788A">
            <w:pPr>
              <w:pStyle w:val="TableText"/>
            </w:pPr>
            <w:r w:rsidRPr="00C000B2">
              <w:rPr>
                <w:noProof/>
                <w:lang w:eastAsia="en-NZ"/>
              </w:rPr>
              <mc:AlternateContent>
                <mc:Choice Requires="wps">
                  <w:drawing>
                    <wp:anchor distT="0" distB="0" distL="114300" distR="114300" simplePos="0" relativeHeight="252172288" behindDoc="1" locked="0" layoutInCell="1" allowOverlap="1" wp14:anchorId="35DF861B" wp14:editId="6BE9D9DF">
                      <wp:simplePos x="0" y="0"/>
                      <wp:positionH relativeFrom="page">
                        <wp:posOffset>3773805</wp:posOffset>
                      </wp:positionH>
                      <wp:positionV relativeFrom="paragraph">
                        <wp:posOffset>1489710</wp:posOffset>
                      </wp:positionV>
                      <wp:extent cx="12700" cy="12700"/>
                      <wp:effectExtent l="1905" t="1270" r="4445" b="5080"/>
                      <wp:wrapNone/>
                      <wp:docPr id="93" name="Freeform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943 5943"/>
                                  <a:gd name="T1" fmla="*/ T0 w 20"/>
                                  <a:gd name="T2" fmla="+- 0 2356 2346"/>
                                  <a:gd name="T3" fmla="*/ 2356 h 20"/>
                                  <a:gd name="T4" fmla="+- 0 5946 5943"/>
                                  <a:gd name="T5" fmla="*/ T4 w 20"/>
                                  <a:gd name="T6" fmla="+- 0 2349 2346"/>
                                  <a:gd name="T7" fmla="*/ 2349 h 20"/>
                                  <a:gd name="T8" fmla="+- 0 5953 5943"/>
                                  <a:gd name="T9" fmla="*/ T8 w 20"/>
                                  <a:gd name="T10" fmla="+- 0 2346 2346"/>
                                  <a:gd name="T11" fmla="*/ 2346 h 20"/>
                                  <a:gd name="T12" fmla="+- 0 5960 5943"/>
                                  <a:gd name="T13" fmla="*/ T12 w 20"/>
                                  <a:gd name="T14" fmla="+- 0 2349 2346"/>
                                  <a:gd name="T15" fmla="*/ 2349 h 20"/>
                                  <a:gd name="T16" fmla="+- 0 5963 5943"/>
                                  <a:gd name="T17" fmla="*/ T16 w 20"/>
                                  <a:gd name="T18" fmla="+- 0 2356 2346"/>
                                  <a:gd name="T19" fmla="*/ 2356 h 20"/>
                                  <a:gd name="T20" fmla="+- 0 5960 5943"/>
                                  <a:gd name="T21" fmla="*/ T20 w 20"/>
                                  <a:gd name="T22" fmla="+- 0 2363 2346"/>
                                  <a:gd name="T23" fmla="*/ 2363 h 20"/>
                                  <a:gd name="T24" fmla="+- 0 5953 5943"/>
                                  <a:gd name="T25" fmla="*/ T24 w 20"/>
                                  <a:gd name="T26" fmla="+- 0 2366 2346"/>
                                  <a:gd name="T27" fmla="*/ 2366 h 20"/>
                                  <a:gd name="T28" fmla="+- 0 5946 5943"/>
                                  <a:gd name="T29" fmla="*/ T28 w 20"/>
                                  <a:gd name="T30" fmla="+- 0 2363 2346"/>
                                  <a:gd name="T31" fmla="*/ 2363 h 20"/>
                                  <a:gd name="T32" fmla="+- 0 5943 5943"/>
                                  <a:gd name="T33" fmla="*/ T32 w 20"/>
                                  <a:gd name="T34" fmla="+- 0 2356 2346"/>
                                  <a:gd name="T35" fmla="*/ 235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746D" id="Freeform 93" o:spid="_x0000_s1026" alt="&quot;&quot;" style="position:absolute;margin-left:297.15pt;margin-top:117.3pt;width:1pt;height:1pt;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" path="m,10l3,3,10,r7,3l20,10r-3,7l10,20,3,17,,10xe" fillcolor="#22b893" stroked="f">
                      <v:path arrowok="t" o:connecttype="custom" o:connectlocs="0,1496060;1905,1491615;6350,1489710;10795,1491615;12700,1496060;10795,1500505;6350,1502410;1905,1500505;0,1496060" o:connectangles="0,0,0,0,0,0,0,0,0"/>
                      <w10:wrap anchorx="page"/>
                    </v:shape>
                  </w:pict>
                </mc:Fallback>
              </mc:AlternateContent>
            </w:r>
            <w:r w:rsidRPr="00C000B2">
              <w:t>Pre-exposure prophylaxis (</w:t>
            </w:r>
            <w:proofErr w:type="spellStart"/>
            <w:r w:rsidRPr="00C000B2">
              <w:t>PrEP</w:t>
            </w:r>
            <w:proofErr w:type="spellEnd"/>
            <w:r w:rsidRPr="00C000B2">
              <w:t xml:space="preserve">) and post-exposure prophylaxis (PEP) are medications taken by people who do not have HIV to prevent infection. </w:t>
            </w:r>
            <w:proofErr w:type="spellStart"/>
            <w:r w:rsidRPr="00C000B2">
              <w:t>PrEP</w:t>
            </w:r>
            <w:proofErr w:type="spellEnd"/>
            <w:r w:rsidRPr="00C000B2">
              <w:t xml:space="preserve"> can reduce the risk of acquiring HIV during unprotected sexual activity by up to 99 percent if taken daily as prescribed.</w:t>
            </w:r>
            <w:r w:rsidRPr="008A788A">
              <w:rPr>
                <w:vertAlign w:val="superscript"/>
              </w:rPr>
              <w:t>462</w:t>
            </w:r>
            <w:r w:rsidRPr="00C000B2">
              <w:t xml:space="preserve"> There is some evidence that PEP may be able to prevent infection in people who may have been exposed to HIV if taken within 72 hours (ideally as soon as possible).</w:t>
            </w:r>
            <w:r w:rsidRPr="008A788A">
              <w:rPr>
                <w:vertAlign w:val="superscript"/>
              </w:rPr>
              <w:t>463</w:t>
            </w:r>
          </w:p>
        </w:tc>
      </w:tr>
    </w:tbl>
    <w:p w14:paraId="1B059B70" w14:textId="77777777" w:rsidR="00EF27EC" w:rsidRPr="00C000B2" w:rsidRDefault="00EF27EC" w:rsidP="008A788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56C747C1" w14:textId="77777777" w:rsidTr="00AB11A2">
        <w:trPr>
          <w:cantSplit/>
        </w:trPr>
        <w:tc>
          <w:tcPr>
            <w:tcW w:w="8080" w:type="dxa"/>
            <w:gridSpan w:val="2"/>
            <w:tcBorders>
              <w:bottom w:val="nil"/>
            </w:tcBorders>
            <w:shd w:val="clear" w:color="auto" w:fill="D7EDE4"/>
          </w:tcPr>
          <w:p w14:paraId="4128D6DA" w14:textId="77777777" w:rsidR="0029210A" w:rsidRPr="00AB3864" w:rsidRDefault="0029210A" w:rsidP="001E1A6C">
            <w:pPr>
              <w:pStyle w:val="TableText"/>
              <w:keepNext/>
              <w:spacing w:before="120"/>
              <w:rPr>
                <w:b/>
                <w:sz w:val="22"/>
                <w:szCs w:val="22"/>
              </w:rPr>
            </w:pPr>
            <w:r w:rsidRPr="00AB3864">
              <w:rPr>
                <w:b/>
                <w:sz w:val="22"/>
                <w:szCs w:val="22"/>
              </w:rPr>
              <w:lastRenderedPageBreak/>
              <w:t xml:space="preserve">Action: </w:t>
            </w:r>
            <w:r w:rsidR="001E1A6C" w:rsidRPr="001E1A6C">
              <w:rPr>
                <w:sz w:val="22"/>
                <w:szCs w:val="22"/>
              </w:rPr>
              <w:t>Ensure equitable access to pre-exposure and post-exposure prophylaxis for HIV</w:t>
            </w:r>
          </w:p>
        </w:tc>
      </w:tr>
      <w:tr w:rsidR="0029210A" w14:paraId="05E9125A" w14:textId="77777777" w:rsidTr="008A788A">
        <w:trPr>
          <w:cantSplit/>
        </w:trPr>
        <w:tc>
          <w:tcPr>
            <w:tcW w:w="4040" w:type="dxa"/>
            <w:tcBorders>
              <w:top w:val="nil"/>
              <w:bottom w:val="single" w:sz="8" w:space="0" w:color="22B893"/>
              <w:right w:val="dashed" w:sz="4" w:space="0" w:color="22B893"/>
            </w:tcBorders>
          </w:tcPr>
          <w:p w14:paraId="361899CB" w14:textId="77777777" w:rsidR="0029210A" w:rsidRPr="00AB3864" w:rsidRDefault="0029210A" w:rsidP="00AB11A2">
            <w:pPr>
              <w:pStyle w:val="TableText"/>
              <w:ind w:right="142"/>
              <w:rPr>
                <w:sz w:val="20"/>
              </w:rPr>
            </w:pPr>
            <w:r w:rsidRPr="00AB3864">
              <w:rPr>
                <w:sz w:val="20"/>
              </w:rPr>
              <w:t>What is the evidence?</w:t>
            </w:r>
          </w:p>
          <w:p w14:paraId="68D0E30D" w14:textId="77777777" w:rsidR="001E1A6C" w:rsidRPr="00C000B2" w:rsidRDefault="001E1A6C" w:rsidP="001E1A6C">
            <w:pPr>
              <w:pStyle w:val="TableText"/>
              <w:ind w:right="113"/>
            </w:pPr>
            <w:proofErr w:type="spellStart"/>
            <w:r w:rsidRPr="00C000B2">
              <w:t>PrEP</w:t>
            </w:r>
            <w:proofErr w:type="spellEnd"/>
            <w:r w:rsidRPr="00C000B2">
              <w:t xml:space="preserve"> is effective at reducing HIV transmission. There was a 32 percent decline in newly acquired HIV diagnoses following implementation of a large </w:t>
            </w:r>
            <w:proofErr w:type="spellStart"/>
            <w:r w:rsidRPr="00C000B2">
              <w:t>PrEP</w:t>
            </w:r>
            <w:proofErr w:type="spellEnd"/>
            <w:r w:rsidRPr="00C000B2">
              <w:t xml:space="preserve"> project combined with increased HIV testing and prompt treatment of those infected in London.</w:t>
            </w:r>
            <w:r w:rsidRPr="001E1A6C">
              <w:rPr>
                <w:vertAlign w:val="superscript"/>
              </w:rPr>
              <w:t>464</w:t>
            </w:r>
            <w:r w:rsidRPr="00C000B2">
              <w:t xml:space="preserve"> Overseas, non-European MSM are less likely to access and adhere to PrEP.</w:t>
            </w:r>
            <w:r w:rsidRPr="001E1A6C">
              <w:rPr>
                <w:vertAlign w:val="superscript"/>
              </w:rPr>
              <w:t>465, 466</w:t>
            </w:r>
          </w:p>
          <w:p w14:paraId="30A34F8D" w14:textId="77777777" w:rsidR="0029210A" w:rsidRDefault="001E1A6C" w:rsidP="001E1A6C">
            <w:pPr>
              <w:pStyle w:val="TableText"/>
              <w:ind w:right="113"/>
            </w:pPr>
            <w:r w:rsidRPr="00C000B2">
              <w:t>The effectiveness of PEP depends on factors such as the time between exposure and treatment, the</w:t>
            </w:r>
            <w:r>
              <w:t xml:space="preserve"> </w:t>
            </w:r>
            <w:r w:rsidRPr="00C000B2">
              <w:t>type of exposure, and the HIV viral load of the sexual contact.</w:t>
            </w:r>
            <w:r w:rsidRPr="001E1A6C">
              <w:rPr>
                <w:vertAlign w:val="superscript"/>
              </w:rPr>
              <w:t>463</w:t>
            </w:r>
          </w:p>
        </w:tc>
        <w:tc>
          <w:tcPr>
            <w:tcW w:w="4040" w:type="dxa"/>
            <w:tcBorders>
              <w:top w:val="nil"/>
              <w:left w:val="dashed" w:sz="4" w:space="0" w:color="22B893"/>
              <w:bottom w:val="single" w:sz="8" w:space="0" w:color="22B893"/>
            </w:tcBorders>
          </w:tcPr>
          <w:p w14:paraId="042FA84C" w14:textId="77777777" w:rsidR="0029210A" w:rsidRPr="00AB3864" w:rsidRDefault="0029210A" w:rsidP="00AB11A2">
            <w:pPr>
              <w:pStyle w:val="TableText"/>
              <w:ind w:left="113"/>
              <w:rPr>
                <w:sz w:val="20"/>
              </w:rPr>
            </w:pPr>
            <w:r w:rsidRPr="00AB3864">
              <w:rPr>
                <w:sz w:val="20"/>
              </w:rPr>
              <w:t>What is Aotearoa doing currently?</w:t>
            </w:r>
          </w:p>
          <w:p w14:paraId="33581772" w14:textId="77777777" w:rsidR="001E1A6C" w:rsidRPr="00C000B2" w:rsidRDefault="001E1A6C" w:rsidP="001E1A6C">
            <w:pPr>
              <w:pStyle w:val="TableText"/>
              <w:ind w:left="113"/>
            </w:pPr>
            <w:proofErr w:type="spellStart"/>
            <w:r w:rsidRPr="00C000B2">
              <w:t>PrEP</w:t>
            </w:r>
            <w:proofErr w:type="spellEnd"/>
            <w:r w:rsidRPr="00C000B2">
              <w:t xml:space="preserve"> and PEP medicines are currently available in Aotearoa.</w:t>
            </w:r>
          </w:p>
          <w:p w14:paraId="55882DDB" w14:textId="77777777" w:rsidR="001E1A6C" w:rsidRPr="00C000B2" w:rsidRDefault="001E1A6C" w:rsidP="001E1A6C">
            <w:pPr>
              <w:pStyle w:val="TableText"/>
              <w:ind w:left="113"/>
            </w:pPr>
            <w:r w:rsidRPr="00C000B2">
              <w:t xml:space="preserve">Aotearoa became one of the first countries to publicly fund </w:t>
            </w:r>
            <w:proofErr w:type="spellStart"/>
            <w:r w:rsidRPr="00C000B2">
              <w:t>PrEP</w:t>
            </w:r>
            <w:proofErr w:type="spellEnd"/>
            <w:r w:rsidRPr="00C000B2">
              <w:t xml:space="preserve"> in March 2018 for high-risk individuals.</w:t>
            </w:r>
            <w:r w:rsidRPr="001E1A6C">
              <w:rPr>
                <w:vertAlign w:val="superscript"/>
              </w:rPr>
              <w:t>466</w:t>
            </w:r>
            <w:r w:rsidRPr="00C000B2">
              <w:t xml:space="preserve"> People must test negative for HIV prior to starting </w:t>
            </w:r>
            <w:proofErr w:type="spellStart"/>
            <w:r w:rsidRPr="00C000B2">
              <w:t>PrEP</w:t>
            </w:r>
            <w:proofErr w:type="spellEnd"/>
            <w:r w:rsidRPr="00C000B2">
              <w:t xml:space="preserve"> and every </w:t>
            </w:r>
            <w:r>
              <w:t>three</w:t>
            </w:r>
            <w:r w:rsidRPr="00C000B2">
              <w:t xml:space="preserve"> months while taking it. It is estimated that over 5,800 people in Aotearoa will be eligible for </w:t>
            </w:r>
            <w:proofErr w:type="spellStart"/>
            <w:r w:rsidRPr="00C000B2">
              <w:t>PrEP</w:t>
            </w:r>
            <w:proofErr w:type="spellEnd"/>
            <w:r w:rsidRPr="00C000B2">
              <w:t>, including 18</w:t>
            </w:r>
            <w:r>
              <w:t> </w:t>
            </w:r>
            <w:r w:rsidRPr="00C000B2">
              <w:t>percent of all sexually active MSM.</w:t>
            </w:r>
            <w:r w:rsidRPr="001E1A6C">
              <w:rPr>
                <w:vertAlign w:val="superscript"/>
              </w:rPr>
              <w:t>467</w:t>
            </w:r>
          </w:p>
          <w:p w14:paraId="6454024C" w14:textId="77777777" w:rsidR="0029210A" w:rsidRDefault="001E1A6C" w:rsidP="001E1A6C">
            <w:pPr>
              <w:pStyle w:val="TableText"/>
              <w:ind w:left="113"/>
            </w:pPr>
            <w:r w:rsidRPr="00C000B2">
              <w:t>PEP is usually sought through the emergency department or another urgent care service. There is a cost for PEP (approximately</w:t>
            </w:r>
            <w:r>
              <w:br/>
            </w:r>
            <w:r w:rsidRPr="00C000B2">
              <w:t>$80</w:t>
            </w:r>
            <w:r>
              <w:t>–</w:t>
            </w:r>
            <w:r w:rsidRPr="00C000B2">
              <w:t>100) for those that do not meet certain criteria.</w:t>
            </w:r>
            <w:r w:rsidRPr="001E1A6C">
              <w:rPr>
                <w:vertAlign w:val="superscript"/>
              </w:rPr>
              <w:t>468</w:t>
            </w:r>
          </w:p>
        </w:tc>
      </w:tr>
    </w:tbl>
    <w:p w14:paraId="5971BA05" w14:textId="77777777" w:rsidR="0029210A" w:rsidRPr="00C000B2" w:rsidRDefault="0029210A" w:rsidP="001E1A6C">
      <w:pPr>
        <w:spacing w:after="24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7371"/>
      </w:tblGrid>
      <w:tr w:rsidR="008D0C7A" w14:paraId="13773054" w14:textId="77777777" w:rsidTr="00351028">
        <w:trPr>
          <w:cantSplit/>
        </w:trPr>
        <w:tc>
          <w:tcPr>
            <w:tcW w:w="426" w:type="dxa"/>
            <w:tcBorders>
              <w:right w:val="single" w:sz="48" w:space="0" w:color="FFFFFF" w:themeColor="background1"/>
            </w:tcBorders>
            <w:shd w:val="clear" w:color="auto" w:fill="22B893"/>
          </w:tcPr>
          <w:p w14:paraId="7AFA3BE9" w14:textId="77777777" w:rsidR="008D0C7A" w:rsidRDefault="008D0C7A" w:rsidP="00351028"/>
        </w:tc>
        <w:tc>
          <w:tcPr>
            <w:tcW w:w="7371" w:type="dxa"/>
          </w:tcPr>
          <w:p w14:paraId="6CD961A3" w14:textId="77777777" w:rsidR="008D0C7A" w:rsidRPr="008A788A" w:rsidRDefault="008D0C7A" w:rsidP="00351028">
            <w:pPr>
              <w:pStyle w:val="TableText"/>
              <w:rPr>
                <w:sz w:val="22"/>
                <w:szCs w:val="22"/>
              </w:rPr>
            </w:pPr>
            <w:r w:rsidRPr="0029210A">
              <w:rPr>
                <w:b/>
                <w:sz w:val="22"/>
                <w:szCs w:val="22"/>
              </w:rPr>
              <w:t xml:space="preserve">Focus area: </w:t>
            </w:r>
            <w:r w:rsidR="008A788A" w:rsidRPr="008A788A">
              <w:rPr>
                <w:sz w:val="22"/>
                <w:szCs w:val="22"/>
              </w:rPr>
              <w:t>Improve identification of individuals with cancer causing chronic infections to facilitate access to treatment and ongoing medical care (secondary prevention)</w:t>
            </w:r>
          </w:p>
          <w:p w14:paraId="6A839E20" w14:textId="77777777" w:rsidR="008A788A" w:rsidRPr="008A788A" w:rsidRDefault="008A788A" w:rsidP="008A788A">
            <w:pPr>
              <w:pStyle w:val="TableText"/>
              <w:rPr>
                <w:sz w:val="20"/>
              </w:rPr>
            </w:pPr>
            <w:r w:rsidRPr="008A788A">
              <w:rPr>
                <w:sz w:val="20"/>
              </w:rPr>
              <w:t>What is the impact of early identification and management of chronic infections on developing cancer?</w:t>
            </w:r>
          </w:p>
          <w:p w14:paraId="565631D4" w14:textId="77777777" w:rsidR="008A788A" w:rsidRPr="00C000B2" w:rsidRDefault="008A788A" w:rsidP="008A788A">
            <w:pPr>
              <w:pStyle w:val="TableText"/>
            </w:pPr>
            <w:r w:rsidRPr="00C000B2">
              <w:t xml:space="preserve">Many people with chronic </w:t>
            </w:r>
            <w:r w:rsidRPr="00C000B2">
              <w:rPr>
                <w:i/>
              </w:rPr>
              <w:t>H. pylori</w:t>
            </w:r>
            <w:r w:rsidRPr="00C000B2">
              <w:t xml:space="preserve">, HPV, </w:t>
            </w:r>
            <w:r w:rsidR="009278A9">
              <w:t>hepatitis B</w:t>
            </w:r>
            <w:r w:rsidRPr="00C000B2">
              <w:t xml:space="preserve">, </w:t>
            </w:r>
            <w:r w:rsidR="009278A9">
              <w:t>hepatitis C</w:t>
            </w:r>
            <w:r w:rsidRPr="00C000B2">
              <w:t xml:space="preserve"> infections and HIV do not have </w:t>
            </w:r>
            <w:proofErr w:type="gramStart"/>
            <w:r w:rsidRPr="00C000B2">
              <w:t>symptoms</w:t>
            </w:r>
            <w:proofErr w:type="gramEnd"/>
            <w:r w:rsidRPr="00C000B2">
              <w:t xml:space="preserve"> so they are not aware that they are infected and have a higher risk of developing cancer. As it can take many decades for cancer to develop, starting effective treatment for a chronic infection early reduces the risk of developing cancer.</w:t>
            </w:r>
          </w:p>
          <w:p w14:paraId="43C263B0" w14:textId="77777777" w:rsidR="008D0C7A" w:rsidRDefault="008A788A" w:rsidP="008A788A">
            <w:pPr>
              <w:pStyle w:val="TableText"/>
            </w:pPr>
            <w:r w:rsidRPr="00C000B2">
              <w:rPr>
                <w:noProof/>
                <w:lang w:eastAsia="en-NZ"/>
              </w:rPr>
              <mc:AlternateContent>
                <mc:Choice Requires="wps">
                  <w:drawing>
                    <wp:anchor distT="0" distB="0" distL="114300" distR="114300" simplePos="0" relativeHeight="252174336" behindDoc="1" locked="0" layoutInCell="1" allowOverlap="1" wp14:anchorId="3BC11AFD" wp14:editId="055843D1">
                      <wp:simplePos x="0" y="0"/>
                      <wp:positionH relativeFrom="page">
                        <wp:posOffset>4493895</wp:posOffset>
                      </wp:positionH>
                      <wp:positionV relativeFrom="paragraph">
                        <wp:posOffset>994410</wp:posOffset>
                      </wp:positionV>
                      <wp:extent cx="12700" cy="12700"/>
                      <wp:effectExtent l="7620" t="3175" r="8255" b="3175"/>
                      <wp:wrapNone/>
                      <wp:docPr id="90" name="Freeform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7077 7077"/>
                                  <a:gd name="T1" fmla="*/ T0 w 20"/>
                                  <a:gd name="T2" fmla="+- 0 1576 1566"/>
                                  <a:gd name="T3" fmla="*/ 1576 h 20"/>
                                  <a:gd name="T4" fmla="+- 0 7080 7077"/>
                                  <a:gd name="T5" fmla="*/ T4 w 20"/>
                                  <a:gd name="T6" fmla="+- 0 1569 1566"/>
                                  <a:gd name="T7" fmla="*/ 1569 h 20"/>
                                  <a:gd name="T8" fmla="+- 0 7087 7077"/>
                                  <a:gd name="T9" fmla="*/ T8 w 20"/>
                                  <a:gd name="T10" fmla="+- 0 1566 1566"/>
                                  <a:gd name="T11" fmla="*/ 1566 h 20"/>
                                  <a:gd name="T12" fmla="+- 0 7094 7077"/>
                                  <a:gd name="T13" fmla="*/ T12 w 20"/>
                                  <a:gd name="T14" fmla="+- 0 1569 1566"/>
                                  <a:gd name="T15" fmla="*/ 1569 h 20"/>
                                  <a:gd name="T16" fmla="+- 0 7097 7077"/>
                                  <a:gd name="T17" fmla="*/ T16 w 20"/>
                                  <a:gd name="T18" fmla="+- 0 1576 1566"/>
                                  <a:gd name="T19" fmla="*/ 1576 h 20"/>
                                  <a:gd name="T20" fmla="+- 0 7094 7077"/>
                                  <a:gd name="T21" fmla="*/ T20 w 20"/>
                                  <a:gd name="T22" fmla="+- 0 1583 1566"/>
                                  <a:gd name="T23" fmla="*/ 1583 h 20"/>
                                  <a:gd name="T24" fmla="+- 0 7087 7077"/>
                                  <a:gd name="T25" fmla="*/ T24 w 20"/>
                                  <a:gd name="T26" fmla="+- 0 1586 1566"/>
                                  <a:gd name="T27" fmla="*/ 1586 h 20"/>
                                  <a:gd name="T28" fmla="+- 0 7080 7077"/>
                                  <a:gd name="T29" fmla="*/ T28 w 20"/>
                                  <a:gd name="T30" fmla="+- 0 1583 1566"/>
                                  <a:gd name="T31" fmla="*/ 1583 h 20"/>
                                  <a:gd name="T32" fmla="+- 0 7077 7077"/>
                                  <a:gd name="T33" fmla="*/ T32 w 20"/>
                                  <a:gd name="T34" fmla="+- 0 1576 1566"/>
                                  <a:gd name="T35" fmla="*/ 15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C7ED2" id="Freeform 90" o:spid="_x0000_s1026" alt="&quot;&quot;" style="position:absolute;margin-left:353.85pt;margin-top:78.3pt;width:1pt;height:1pt;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" path="m,10l3,3,10,r7,3l20,10r-3,7l10,20,3,17,,10xe" fillcolor="#22b893" stroked="f">
                      <v:path arrowok="t" o:connecttype="custom" o:connectlocs="0,1000760;1905,996315;6350,994410;10795,996315;12700,1000760;10795,1005205;6350,1007110;1905,1005205;0,1000760" o:connectangles="0,0,0,0,0,0,0,0,0"/>
                      <w10:wrap anchorx="page"/>
                    </v:shape>
                  </w:pict>
                </mc:Fallback>
              </mc:AlternateContent>
            </w:r>
            <w:r w:rsidRPr="00C000B2">
              <w:t xml:space="preserve">Stigma and discrimination associated with infections such as HIV and </w:t>
            </w:r>
            <w:r w:rsidR="009278A9">
              <w:t>hepatitis C</w:t>
            </w:r>
            <w:r w:rsidRPr="00C000B2">
              <w:t xml:space="preserve"> can also prevent or delay people from accessing treatment and ongoing medical care.</w:t>
            </w:r>
          </w:p>
        </w:tc>
      </w:tr>
    </w:tbl>
    <w:p w14:paraId="5E85D4BD" w14:textId="77777777" w:rsidR="008D0C7A" w:rsidRPr="00C000B2" w:rsidRDefault="008D0C7A" w:rsidP="008A788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49D7C645" w14:textId="77777777" w:rsidTr="00AB11A2">
        <w:trPr>
          <w:cantSplit/>
        </w:trPr>
        <w:tc>
          <w:tcPr>
            <w:tcW w:w="8080" w:type="dxa"/>
            <w:gridSpan w:val="2"/>
            <w:tcBorders>
              <w:bottom w:val="nil"/>
            </w:tcBorders>
            <w:shd w:val="clear" w:color="auto" w:fill="D7EDE4"/>
          </w:tcPr>
          <w:p w14:paraId="4F3F48C6" w14:textId="77777777" w:rsidR="0029210A" w:rsidRPr="00AB3864" w:rsidRDefault="0029210A" w:rsidP="001E1A6C">
            <w:pPr>
              <w:pStyle w:val="TableText"/>
              <w:keepNext/>
              <w:spacing w:before="120"/>
              <w:rPr>
                <w:b/>
                <w:sz w:val="22"/>
                <w:szCs w:val="22"/>
              </w:rPr>
            </w:pPr>
            <w:r w:rsidRPr="00AB3864">
              <w:rPr>
                <w:b/>
                <w:sz w:val="22"/>
                <w:szCs w:val="22"/>
              </w:rPr>
              <w:lastRenderedPageBreak/>
              <w:t xml:space="preserve">Action: </w:t>
            </w:r>
            <w:r w:rsidR="001E1A6C" w:rsidRPr="001E1A6C">
              <w:rPr>
                <w:sz w:val="22"/>
                <w:szCs w:val="22"/>
              </w:rPr>
              <w:t xml:space="preserve">Screen all pregnant women for chronic </w:t>
            </w:r>
            <w:r w:rsidR="009278A9">
              <w:rPr>
                <w:sz w:val="22"/>
                <w:szCs w:val="22"/>
              </w:rPr>
              <w:t>hepatitis B</w:t>
            </w:r>
            <w:r w:rsidR="001E1A6C" w:rsidRPr="001E1A6C">
              <w:rPr>
                <w:sz w:val="22"/>
                <w:szCs w:val="22"/>
              </w:rPr>
              <w:t xml:space="preserve"> infection and HIV and provide appropriate treatment to mother and baby</w:t>
            </w:r>
          </w:p>
        </w:tc>
      </w:tr>
      <w:tr w:rsidR="0029210A" w14:paraId="0366C676" w14:textId="77777777" w:rsidTr="008A788A">
        <w:trPr>
          <w:cantSplit/>
        </w:trPr>
        <w:tc>
          <w:tcPr>
            <w:tcW w:w="4040" w:type="dxa"/>
            <w:tcBorders>
              <w:top w:val="nil"/>
              <w:bottom w:val="single" w:sz="8" w:space="0" w:color="22B893"/>
              <w:right w:val="dashed" w:sz="4" w:space="0" w:color="22B893"/>
            </w:tcBorders>
          </w:tcPr>
          <w:p w14:paraId="75DE25F2" w14:textId="77777777" w:rsidR="0029210A" w:rsidRPr="00AB3864" w:rsidRDefault="0029210A" w:rsidP="00AB11A2">
            <w:pPr>
              <w:pStyle w:val="TableText"/>
              <w:ind w:right="142"/>
              <w:rPr>
                <w:sz w:val="20"/>
              </w:rPr>
            </w:pPr>
            <w:r w:rsidRPr="00AB3864">
              <w:rPr>
                <w:sz w:val="20"/>
              </w:rPr>
              <w:t>What is the evidence?</w:t>
            </w:r>
          </w:p>
          <w:p w14:paraId="6662AFCB" w14:textId="77777777" w:rsidR="001E1A6C" w:rsidRPr="00C000B2" w:rsidRDefault="009278A9" w:rsidP="001E1A6C">
            <w:pPr>
              <w:pStyle w:val="TableText"/>
              <w:ind w:right="113"/>
            </w:pPr>
            <w:r>
              <w:t>Hepatitis B</w:t>
            </w:r>
            <w:r w:rsidR="001E1A6C" w:rsidRPr="00C000B2">
              <w:t xml:space="preserve"> is easily transmitted from mother to baby at birth. An estimated 90 percent of babies born to mothers with a high level of </w:t>
            </w:r>
            <w:r>
              <w:t>hepatitis B</w:t>
            </w:r>
            <w:r w:rsidR="001E1A6C" w:rsidRPr="00C000B2">
              <w:t xml:space="preserve"> virus in their blood will become infected.</w:t>
            </w:r>
            <w:r w:rsidR="001E1A6C" w:rsidRPr="001E1A6C">
              <w:rPr>
                <w:vertAlign w:val="superscript"/>
              </w:rPr>
              <w:t>469</w:t>
            </w:r>
            <w:r w:rsidR="001E1A6C" w:rsidRPr="00C000B2">
              <w:t xml:space="preserve"> Infection in infancy and early childhood is associated with the highest risk of developing chronic </w:t>
            </w:r>
            <w:r>
              <w:t>hepatitis B</w:t>
            </w:r>
            <w:r w:rsidR="001E1A6C" w:rsidRPr="00C000B2">
              <w:t xml:space="preserve"> infection.</w:t>
            </w:r>
            <w:r w:rsidR="001E1A6C" w:rsidRPr="001E1A6C">
              <w:rPr>
                <w:vertAlign w:val="superscript"/>
              </w:rPr>
              <w:t>470</w:t>
            </w:r>
          </w:p>
          <w:p w14:paraId="72FEFAC0" w14:textId="77777777" w:rsidR="001E1A6C" w:rsidRPr="00C000B2" w:rsidRDefault="001E1A6C" w:rsidP="001E1A6C">
            <w:pPr>
              <w:pStyle w:val="TableText"/>
              <w:ind w:right="113"/>
            </w:pPr>
            <w:r w:rsidRPr="00C000B2">
              <w:t xml:space="preserve">Conducting antenatal screening for </w:t>
            </w:r>
            <w:r w:rsidR="009278A9">
              <w:t>hepatitis B</w:t>
            </w:r>
            <w:r w:rsidRPr="00C000B2">
              <w:t xml:space="preserve"> infection and administering </w:t>
            </w:r>
            <w:r w:rsidR="009278A9">
              <w:t>hepatitis B</w:t>
            </w:r>
            <w:r w:rsidRPr="00C000B2">
              <w:t xml:space="preserve"> vaccine and immunoglobulin at birth effectively reduces the risk of babies developing chronic </w:t>
            </w:r>
            <w:r w:rsidR="009278A9">
              <w:t>hepatitis B</w:t>
            </w:r>
            <w:r w:rsidRPr="00C000B2">
              <w:t xml:space="preserve"> infection.</w:t>
            </w:r>
            <w:r w:rsidRPr="001E1A6C">
              <w:rPr>
                <w:vertAlign w:val="superscript"/>
              </w:rPr>
              <w:t>469–471</w:t>
            </w:r>
          </w:p>
          <w:p w14:paraId="3AE68931" w14:textId="77777777" w:rsidR="001E1A6C" w:rsidRPr="00C000B2" w:rsidRDefault="001E1A6C" w:rsidP="001E1A6C">
            <w:pPr>
              <w:pStyle w:val="TableText"/>
              <w:ind w:right="113"/>
            </w:pPr>
            <w:r w:rsidRPr="00C000B2">
              <w:t>Antiviral treatment in pregnancy provides additional protection for pregnant women with high blood concentrations of virus.</w:t>
            </w:r>
            <w:r w:rsidRPr="001E1A6C">
              <w:rPr>
                <w:vertAlign w:val="superscript"/>
              </w:rPr>
              <w:t>469, 470, 472</w:t>
            </w:r>
          </w:p>
          <w:p w14:paraId="3929F6F1" w14:textId="77777777" w:rsidR="0029210A" w:rsidRDefault="001E1A6C" w:rsidP="001E1A6C">
            <w:pPr>
              <w:pStyle w:val="TableText"/>
              <w:ind w:right="113"/>
            </w:pPr>
            <w:r w:rsidRPr="00C000B2">
              <w:t>HIV can be passed from mother to baby during pregnancy, the birth or through breastfeeding. The transmission rate from mother to baby is up to 25 percent for HIV infection and declines to less than 2 percent with antiretroviral treatment.</w:t>
            </w:r>
            <w:r w:rsidRPr="001E1A6C">
              <w:rPr>
                <w:vertAlign w:val="superscript"/>
              </w:rPr>
              <w:t>473</w:t>
            </w:r>
          </w:p>
        </w:tc>
        <w:tc>
          <w:tcPr>
            <w:tcW w:w="4040" w:type="dxa"/>
            <w:tcBorders>
              <w:top w:val="nil"/>
              <w:left w:val="dashed" w:sz="4" w:space="0" w:color="22B893"/>
              <w:bottom w:val="single" w:sz="8" w:space="0" w:color="22B893"/>
            </w:tcBorders>
          </w:tcPr>
          <w:p w14:paraId="19F342BC" w14:textId="77777777" w:rsidR="0029210A" w:rsidRPr="00AB3864" w:rsidRDefault="0029210A" w:rsidP="00AB11A2">
            <w:pPr>
              <w:pStyle w:val="TableText"/>
              <w:ind w:left="113"/>
              <w:rPr>
                <w:sz w:val="20"/>
              </w:rPr>
            </w:pPr>
            <w:r w:rsidRPr="00AB3864">
              <w:rPr>
                <w:sz w:val="20"/>
              </w:rPr>
              <w:t>What is Aotearoa doing currently?</w:t>
            </w:r>
          </w:p>
          <w:p w14:paraId="2453EF34" w14:textId="77777777" w:rsidR="001E1A6C" w:rsidRPr="00C000B2" w:rsidRDefault="001E1A6C" w:rsidP="001E1A6C">
            <w:pPr>
              <w:pStyle w:val="TableText"/>
              <w:ind w:left="113"/>
            </w:pPr>
            <w:r w:rsidRPr="00C000B2">
              <w:t xml:space="preserve">All pregnant women in Aotearoa are offered antenatal testing for </w:t>
            </w:r>
            <w:r w:rsidR="009278A9">
              <w:t>hepatitis B</w:t>
            </w:r>
            <w:r w:rsidRPr="00C000B2">
              <w:t xml:space="preserve">. Aotearoa guidelines recommend giving antiviral therapy to pregnant women with </w:t>
            </w:r>
            <w:r w:rsidR="009278A9">
              <w:t>hepatitis B</w:t>
            </w:r>
            <w:r w:rsidRPr="00C000B2">
              <w:t xml:space="preserve"> infection and giving their babies </w:t>
            </w:r>
            <w:r w:rsidR="009278A9">
              <w:t>hepatitis B</w:t>
            </w:r>
            <w:r w:rsidRPr="00C000B2">
              <w:t xml:space="preserve"> immunoglobulins and a vaccine dose within 24</w:t>
            </w:r>
            <w:r>
              <w:t> </w:t>
            </w:r>
            <w:r w:rsidRPr="00C000B2">
              <w:t>hours of birth.</w:t>
            </w:r>
            <w:r w:rsidRPr="001E1A6C">
              <w:rPr>
                <w:vertAlign w:val="superscript"/>
              </w:rPr>
              <w:t>395</w:t>
            </w:r>
          </w:p>
          <w:p w14:paraId="430C6D9D" w14:textId="77777777" w:rsidR="001E1A6C" w:rsidRPr="00C000B2" w:rsidRDefault="001E1A6C" w:rsidP="001E1A6C">
            <w:pPr>
              <w:pStyle w:val="TableText"/>
              <w:ind w:left="113"/>
            </w:pPr>
            <w:r w:rsidRPr="00C000B2">
              <w:t>HIV testing is recommended for all pregnant women.</w:t>
            </w:r>
            <w:r w:rsidRPr="001E1A6C">
              <w:rPr>
                <w:vertAlign w:val="superscript"/>
              </w:rPr>
              <w:t>474</w:t>
            </w:r>
            <w:r w:rsidRPr="00C000B2">
              <w:t xml:space="preserve"> Women with HIV are offered treatment and it is</w:t>
            </w:r>
            <w:r>
              <w:t xml:space="preserve"> </w:t>
            </w:r>
            <w:r w:rsidRPr="00C000B2">
              <w:t>recommended by the Ministry of Health that women do not breastfeed.</w:t>
            </w:r>
            <w:r w:rsidRPr="001E1A6C">
              <w:rPr>
                <w:vertAlign w:val="superscript"/>
              </w:rPr>
              <w:t>475</w:t>
            </w:r>
          </w:p>
          <w:p w14:paraId="4ED60410" w14:textId="77777777" w:rsidR="0029210A" w:rsidRDefault="001E1A6C" w:rsidP="001E1A6C">
            <w:pPr>
              <w:pStyle w:val="TableText"/>
              <w:ind w:left="113"/>
            </w:pPr>
            <w:r w:rsidRPr="00C000B2">
              <w:t>Since 2007, there has been no children with perinatally-acquired HIV born in</w:t>
            </w:r>
            <w:r>
              <w:t xml:space="preserve"> </w:t>
            </w:r>
            <w:r w:rsidRPr="00C000B2">
              <w:t>Aotearoa.</w:t>
            </w:r>
            <w:r w:rsidRPr="001E1A6C">
              <w:rPr>
                <w:vertAlign w:val="superscript"/>
              </w:rPr>
              <w:t>418</w:t>
            </w:r>
          </w:p>
        </w:tc>
      </w:tr>
    </w:tbl>
    <w:p w14:paraId="18D85EE2" w14:textId="77777777" w:rsidR="0029210A" w:rsidRPr="00C000B2" w:rsidRDefault="0029210A" w:rsidP="001E1A6C">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4600D8C2" w14:textId="77777777" w:rsidTr="00AB11A2">
        <w:trPr>
          <w:cantSplit/>
        </w:trPr>
        <w:tc>
          <w:tcPr>
            <w:tcW w:w="8080" w:type="dxa"/>
            <w:gridSpan w:val="2"/>
            <w:tcBorders>
              <w:bottom w:val="nil"/>
            </w:tcBorders>
            <w:shd w:val="clear" w:color="auto" w:fill="D7EDE4"/>
          </w:tcPr>
          <w:p w14:paraId="3FBCB88D" w14:textId="77777777" w:rsidR="0029210A" w:rsidRPr="00AB3864" w:rsidRDefault="0029210A" w:rsidP="000163A2">
            <w:pPr>
              <w:pStyle w:val="TableText"/>
              <w:keepNext/>
              <w:spacing w:before="120"/>
              <w:rPr>
                <w:b/>
                <w:sz w:val="22"/>
                <w:szCs w:val="22"/>
              </w:rPr>
            </w:pPr>
            <w:r w:rsidRPr="00AB3864">
              <w:rPr>
                <w:b/>
                <w:sz w:val="22"/>
                <w:szCs w:val="22"/>
              </w:rPr>
              <w:lastRenderedPageBreak/>
              <w:t xml:space="preserve">Action: </w:t>
            </w:r>
            <w:r w:rsidR="001E1A6C" w:rsidRPr="001E1A6C">
              <w:rPr>
                <w:sz w:val="22"/>
                <w:szCs w:val="22"/>
              </w:rPr>
              <w:t xml:space="preserve">Improve how individuals with chronic </w:t>
            </w:r>
            <w:r w:rsidR="009278A9">
              <w:rPr>
                <w:sz w:val="22"/>
                <w:szCs w:val="22"/>
              </w:rPr>
              <w:t>hepatitis B</w:t>
            </w:r>
            <w:r w:rsidR="001E1A6C" w:rsidRPr="001E1A6C">
              <w:rPr>
                <w:sz w:val="22"/>
                <w:szCs w:val="22"/>
              </w:rPr>
              <w:t xml:space="preserve"> infection can be identified, treated, </w:t>
            </w:r>
            <w:proofErr w:type="gramStart"/>
            <w:r w:rsidR="001E1A6C" w:rsidRPr="001E1A6C">
              <w:rPr>
                <w:sz w:val="22"/>
                <w:szCs w:val="22"/>
              </w:rPr>
              <w:t>monitored</w:t>
            </w:r>
            <w:proofErr w:type="gramEnd"/>
            <w:r w:rsidR="001E1A6C" w:rsidRPr="001E1A6C">
              <w:rPr>
                <w:sz w:val="22"/>
                <w:szCs w:val="22"/>
              </w:rPr>
              <w:t xml:space="preserve"> and followed up</w:t>
            </w:r>
          </w:p>
        </w:tc>
      </w:tr>
      <w:tr w:rsidR="0029210A" w14:paraId="4D52279A" w14:textId="77777777" w:rsidTr="008A788A">
        <w:trPr>
          <w:cantSplit/>
        </w:trPr>
        <w:tc>
          <w:tcPr>
            <w:tcW w:w="4040" w:type="dxa"/>
            <w:tcBorders>
              <w:top w:val="nil"/>
              <w:bottom w:val="single" w:sz="8" w:space="0" w:color="22B893"/>
              <w:right w:val="dashed" w:sz="4" w:space="0" w:color="22B893"/>
            </w:tcBorders>
          </w:tcPr>
          <w:p w14:paraId="298854A8" w14:textId="77777777" w:rsidR="0029210A" w:rsidRPr="00AB3864" w:rsidRDefault="0029210A" w:rsidP="00AB11A2">
            <w:pPr>
              <w:pStyle w:val="TableText"/>
              <w:ind w:right="142"/>
              <w:rPr>
                <w:sz w:val="20"/>
              </w:rPr>
            </w:pPr>
            <w:r w:rsidRPr="00AB3864">
              <w:rPr>
                <w:sz w:val="20"/>
              </w:rPr>
              <w:t>What is the evidence?</w:t>
            </w:r>
          </w:p>
          <w:p w14:paraId="6E248420" w14:textId="77777777" w:rsidR="000163A2" w:rsidRPr="00C000B2" w:rsidRDefault="000163A2" w:rsidP="000163A2">
            <w:pPr>
              <w:pStyle w:val="TableText"/>
              <w:ind w:right="113"/>
            </w:pPr>
            <w:r w:rsidRPr="00C000B2">
              <w:t xml:space="preserve">Most people with chronic </w:t>
            </w:r>
            <w:r w:rsidR="009278A9">
              <w:t>hepatitis B</w:t>
            </w:r>
            <w:r w:rsidRPr="00C000B2">
              <w:t xml:space="preserve"> are asymptomatic.</w:t>
            </w:r>
            <w:r w:rsidRPr="000163A2">
              <w:rPr>
                <w:vertAlign w:val="superscript"/>
              </w:rPr>
              <w:t>395</w:t>
            </w:r>
            <w:r w:rsidRPr="00C000B2">
              <w:t xml:space="preserve"> This puts them at risk of transmitting the infection to others and developing complications such as liver cancer.</w:t>
            </w:r>
            <w:r w:rsidRPr="000163A2">
              <w:rPr>
                <w:vertAlign w:val="superscript"/>
              </w:rPr>
              <w:t>469, 476–478</w:t>
            </w:r>
          </w:p>
          <w:p w14:paraId="09EDAA54" w14:textId="77777777" w:rsidR="000163A2" w:rsidRPr="00C000B2" w:rsidRDefault="000163A2" w:rsidP="000163A2">
            <w:pPr>
              <w:pStyle w:val="TableText"/>
              <w:ind w:right="113"/>
            </w:pPr>
            <w:r w:rsidRPr="00C000B2">
              <w:t>A 2017 USA modelling study showed that identifying and appropriately treating 90</w:t>
            </w:r>
            <w:r>
              <w:t> </w:t>
            </w:r>
            <w:r w:rsidRPr="00C000B2">
              <w:t xml:space="preserve">percent of chronic </w:t>
            </w:r>
            <w:r w:rsidR="009278A9">
              <w:t>hepatitis B</w:t>
            </w:r>
            <w:r w:rsidRPr="00C000B2">
              <w:t xml:space="preserve"> cases would prevent one-third of new cases of liver cancer by 2030.</w:t>
            </w:r>
            <w:r w:rsidRPr="000163A2">
              <w:rPr>
                <w:vertAlign w:val="superscript"/>
              </w:rPr>
              <w:t>469</w:t>
            </w:r>
          </w:p>
          <w:p w14:paraId="7DABFECD" w14:textId="77777777" w:rsidR="000163A2" w:rsidRPr="00C000B2" w:rsidRDefault="000163A2" w:rsidP="000163A2">
            <w:pPr>
              <w:pStyle w:val="TableText"/>
              <w:ind w:right="113"/>
            </w:pPr>
            <w:r w:rsidRPr="00C000B2">
              <w:t xml:space="preserve">There is limited evidence for population-based screening for chronic </w:t>
            </w:r>
            <w:r w:rsidR="009278A9">
              <w:t>hepatitis B</w:t>
            </w:r>
            <w:r w:rsidRPr="00C000B2">
              <w:t>. Opportunistic screening is effective at identifying cases of infection that had not previously been diagnosed and is likely to be cost-effective in high-prevalence countries.</w:t>
            </w:r>
            <w:r w:rsidRPr="000163A2">
              <w:rPr>
                <w:vertAlign w:val="superscript"/>
              </w:rPr>
              <w:t>478</w:t>
            </w:r>
            <w:r w:rsidRPr="00C000B2">
              <w:t xml:space="preserve"> However, no studies have evaluated differences</w:t>
            </w:r>
            <w:r>
              <w:t xml:space="preserve"> </w:t>
            </w:r>
            <w:r w:rsidRPr="00C000B2">
              <w:t>in liver cancer outcomes between screened and unscreened populations.</w:t>
            </w:r>
            <w:r w:rsidRPr="000163A2">
              <w:rPr>
                <w:vertAlign w:val="superscript"/>
              </w:rPr>
              <w:t>478</w:t>
            </w:r>
          </w:p>
          <w:p w14:paraId="4A5AF7B5" w14:textId="77777777" w:rsidR="0029210A" w:rsidRDefault="000163A2" w:rsidP="000163A2">
            <w:pPr>
              <w:pStyle w:val="TableText"/>
              <w:ind w:right="113"/>
            </w:pPr>
            <w:r w:rsidRPr="00C000B2">
              <w:t xml:space="preserve">Antiviral treatment of </w:t>
            </w:r>
            <w:r w:rsidR="009278A9">
              <w:t>hepatitis B</w:t>
            </w:r>
            <w:r w:rsidRPr="00C000B2">
              <w:t xml:space="preserve"> reduces viral load, improves liver </w:t>
            </w:r>
            <w:proofErr w:type="gramStart"/>
            <w:r w:rsidRPr="00C000B2">
              <w:t>function</w:t>
            </w:r>
            <w:proofErr w:type="gramEnd"/>
            <w:r w:rsidRPr="00C000B2">
              <w:t xml:space="preserve"> and decreases the risk of developing complications such as liver cancer.</w:t>
            </w:r>
            <w:r w:rsidRPr="000163A2">
              <w:rPr>
                <w:vertAlign w:val="superscript"/>
              </w:rPr>
              <w:t>395</w:t>
            </w:r>
            <w:r w:rsidRPr="00C000B2">
              <w:t xml:space="preserve"> No available treatments cure chronic </w:t>
            </w:r>
            <w:r w:rsidR="009278A9">
              <w:t>hepatitis B</w:t>
            </w:r>
            <w:r w:rsidRPr="00C000B2">
              <w:t xml:space="preserve"> and many patients need lifelong treatment.</w:t>
            </w:r>
            <w:r w:rsidRPr="000163A2">
              <w:rPr>
                <w:vertAlign w:val="superscript"/>
              </w:rPr>
              <w:t>395</w:t>
            </w:r>
          </w:p>
        </w:tc>
        <w:tc>
          <w:tcPr>
            <w:tcW w:w="4040" w:type="dxa"/>
            <w:tcBorders>
              <w:top w:val="nil"/>
              <w:left w:val="dashed" w:sz="4" w:space="0" w:color="22B893"/>
              <w:bottom w:val="single" w:sz="8" w:space="0" w:color="22B893"/>
            </w:tcBorders>
          </w:tcPr>
          <w:p w14:paraId="1EDDB0B3" w14:textId="77777777" w:rsidR="0029210A" w:rsidRPr="00AB3864" w:rsidRDefault="0029210A" w:rsidP="00AB11A2">
            <w:pPr>
              <w:pStyle w:val="TableText"/>
              <w:ind w:left="113"/>
              <w:rPr>
                <w:sz w:val="20"/>
              </w:rPr>
            </w:pPr>
            <w:r w:rsidRPr="00AB3864">
              <w:rPr>
                <w:sz w:val="20"/>
              </w:rPr>
              <w:t>What is Aotearoa doing currently?</w:t>
            </w:r>
          </w:p>
          <w:p w14:paraId="39D0839E" w14:textId="77777777" w:rsidR="000163A2" w:rsidRPr="00C000B2" w:rsidRDefault="000163A2" w:rsidP="000163A2">
            <w:pPr>
              <w:pStyle w:val="TableText"/>
              <w:ind w:left="113"/>
            </w:pPr>
            <w:r w:rsidRPr="00C000B2">
              <w:t xml:space="preserve">Opportunistic screening for chronic </w:t>
            </w:r>
            <w:r w:rsidR="009278A9">
              <w:t>hepatitis B</w:t>
            </w:r>
            <w:r w:rsidRPr="00C000B2">
              <w:t xml:space="preserve"> is recommended for people at higher risk of infection. This includes people born before 1988 (when the immunisation programme started), migrants from countries with a high prevalence of </w:t>
            </w:r>
            <w:r w:rsidR="009278A9">
              <w:t>hepatitis B</w:t>
            </w:r>
            <w:r w:rsidRPr="00C000B2">
              <w:t>, people who have been exposed to blood (</w:t>
            </w:r>
            <w:proofErr w:type="spellStart"/>
            <w:r w:rsidRPr="00C000B2">
              <w:t>eg</w:t>
            </w:r>
            <w:proofErr w:type="spellEnd"/>
            <w:r w:rsidRPr="00C000B2">
              <w:t>, through sports or assaults) and anyone with a history of tattooing or body piercing in unlicensed premises (</w:t>
            </w:r>
            <w:proofErr w:type="spellStart"/>
            <w:r w:rsidRPr="00C000B2">
              <w:t>eg</w:t>
            </w:r>
            <w:proofErr w:type="spellEnd"/>
            <w:r w:rsidRPr="00C000B2">
              <w:t>, prison) or overseas.</w:t>
            </w:r>
            <w:r w:rsidRPr="000163A2">
              <w:rPr>
                <w:vertAlign w:val="superscript"/>
              </w:rPr>
              <w:t>395</w:t>
            </w:r>
            <w:r w:rsidRPr="00C000B2">
              <w:t xml:space="preserve"> All pregnant women and all people entering prison are offered testing for </w:t>
            </w:r>
            <w:r w:rsidR="009278A9">
              <w:t>hepatitis B</w:t>
            </w:r>
            <w:r w:rsidRPr="00C000B2">
              <w:t>.</w:t>
            </w:r>
          </w:p>
          <w:p w14:paraId="0F560DE8" w14:textId="77777777" w:rsidR="000163A2" w:rsidRPr="00C000B2" w:rsidRDefault="000163A2" w:rsidP="000163A2">
            <w:pPr>
              <w:pStyle w:val="TableText"/>
              <w:ind w:left="113"/>
            </w:pPr>
            <w:r w:rsidRPr="00C000B2">
              <w:t xml:space="preserve">PHARMAC funds antiviral medicines for </w:t>
            </w:r>
            <w:r w:rsidR="009278A9">
              <w:t>hepatitis B</w:t>
            </w:r>
            <w:r w:rsidRPr="00C000B2">
              <w:t xml:space="preserve"> that effectively reduce viral load in patients with chronic </w:t>
            </w:r>
            <w:r w:rsidR="009278A9">
              <w:t>hepatitis B</w:t>
            </w:r>
            <w:r w:rsidRPr="00C000B2">
              <w:t>.</w:t>
            </w:r>
            <w:r w:rsidRPr="000163A2">
              <w:rPr>
                <w:vertAlign w:val="superscript"/>
              </w:rPr>
              <w:t>395</w:t>
            </w:r>
          </w:p>
          <w:p w14:paraId="73603806" w14:textId="77777777" w:rsidR="0029210A" w:rsidRDefault="000163A2" w:rsidP="000163A2">
            <w:pPr>
              <w:pStyle w:val="TableText"/>
              <w:ind w:left="113"/>
            </w:pPr>
            <w:r w:rsidRPr="00C000B2">
              <w:t xml:space="preserve">All patients with chronic </w:t>
            </w:r>
            <w:r w:rsidR="009278A9">
              <w:t>hepatitis B</w:t>
            </w:r>
            <w:r w:rsidRPr="00C000B2">
              <w:t xml:space="preserve"> infection should be referred to the Hepatitis Foundation for support and ongoing monitoring and follow-up. This is a</w:t>
            </w:r>
            <w:r>
              <w:t xml:space="preserve"> </w:t>
            </w:r>
            <w:r w:rsidRPr="00C000B2">
              <w:t>free service.</w:t>
            </w:r>
            <w:r w:rsidRPr="000163A2">
              <w:rPr>
                <w:vertAlign w:val="superscript"/>
              </w:rPr>
              <w:t>479</w:t>
            </w:r>
            <w:r w:rsidRPr="00C000B2">
              <w:t xml:space="preserve"> Currently, only 25 percent of the estimated 100,000 people with chronic </w:t>
            </w:r>
            <w:r w:rsidR="009278A9">
              <w:t>hepatitis B</w:t>
            </w:r>
            <w:r w:rsidRPr="00C000B2">
              <w:t xml:space="preserve"> are enrolled.</w:t>
            </w:r>
            <w:r w:rsidRPr="000163A2">
              <w:rPr>
                <w:vertAlign w:val="superscript"/>
              </w:rPr>
              <w:t>479</w:t>
            </w:r>
          </w:p>
        </w:tc>
      </w:tr>
    </w:tbl>
    <w:p w14:paraId="63C62EA9" w14:textId="77777777" w:rsidR="0029210A" w:rsidRPr="00C000B2" w:rsidRDefault="0029210A" w:rsidP="000163A2">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1FF22FC4" w14:textId="77777777" w:rsidTr="00AB11A2">
        <w:trPr>
          <w:cantSplit/>
        </w:trPr>
        <w:tc>
          <w:tcPr>
            <w:tcW w:w="8080" w:type="dxa"/>
            <w:gridSpan w:val="2"/>
            <w:tcBorders>
              <w:bottom w:val="nil"/>
            </w:tcBorders>
            <w:shd w:val="clear" w:color="auto" w:fill="D7EDE4"/>
          </w:tcPr>
          <w:p w14:paraId="44F902EE" w14:textId="77777777" w:rsidR="0029210A" w:rsidRPr="00AB3864" w:rsidRDefault="0029210A" w:rsidP="008A788A">
            <w:pPr>
              <w:pStyle w:val="TableText"/>
              <w:spacing w:before="120"/>
              <w:rPr>
                <w:b/>
                <w:sz w:val="22"/>
                <w:szCs w:val="22"/>
              </w:rPr>
            </w:pPr>
            <w:r w:rsidRPr="00AB3864">
              <w:rPr>
                <w:b/>
                <w:sz w:val="22"/>
                <w:szCs w:val="22"/>
              </w:rPr>
              <w:t xml:space="preserve">Action: </w:t>
            </w:r>
            <w:r w:rsidR="000163A2" w:rsidRPr="000163A2">
              <w:rPr>
                <w:sz w:val="22"/>
                <w:szCs w:val="22"/>
              </w:rPr>
              <w:t xml:space="preserve">Improve how individuals with chronic </w:t>
            </w:r>
            <w:r w:rsidR="009278A9">
              <w:rPr>
                <w:sz w:val="22"/>
                <w:szCs w:val="22"/>
              </w:rPr>
              <w:t>hepatitis C</w:t>
            </w:r>
            <w:r w:rsidR="000163A2" w:rsidRPr="000163A2">
              <w:rPr>
                <w:sz w:val="22"/>
                <w:szCs w:val="22"/>
              </w:rPr>
              <w:t xml:space="preserve"> infection can be identified, treated, </w:t>
            </w:r>
            <w:proofErr w:type="gramStart"/>
            <w:r w:rsidR="000163A2" w:rsidRPr="000163A2">
              <w:rPr>
                <w:sz w:val="22"/>
                <w:szCs w:val="22"/>
              </w:rPr>
              <w:t>monitored</w:t>
            </w:r>
            <w:proofErr w:type="gramEnd"/>
            <w:r w:rsidR="000163A2" w:rsidRPr="000163A2">
              <w:rPr>
                <w:sz w:val="22"/>
                <w:szCs w:val="22"/>
              </w:rPr>
              <w:t xml:space="preserve"> and followed up</w:t>
            </w:r>
          </w:p>
        </w:tc>
      </w:tr>
      <w:tr w:rsidR="0029210A" w14:paraId="53A801A4" w14:textId="77777777" w:rsidTr="008A788A">
        <w:trPr>
          <w:cantSplit/>
        </w:trPr>
        <w:tc>
          <w:tcPr>
            <w:tcW w:w="4040" w:type="dxa"/>
            <w:tcBorders>
              <w:top w:val="nil"/>
              <w:bottom w:val="single" w:sz="8" w:space="0" w:color="22B893"/>
              <w:right w:val="dashed" w:sz="4" w:space="0" w:color="22B893"/>
            </w:tcBorders>
          </w:tcPr>
          <w:p w14:paraId="291F3ABC" w14:textId="77777777" w:rsidR="0029210A" w:rsidRPr="00AB3864" w:rsidRDefault="0029210A" w:rsidP="00AB11A2">
            <w:pPr>
              <w:pStyle w:val="TableText"/>
              <w:ind w:right="142"/>
              <w:rPr>
                <w:sz w:val="20"/>
              </w:rPr>
            </w:pPr>
            <w:r w:rsidRPr="00AB3864">
              <w:rPr>
                <w:sz w:val="20"/>
              </w:rPr>
              <w:t>What is the evidence?</w:t>
            </w:r>
          </w:p>
          <w:p w14:paraId="2E1D118B" w14:textId="77777777" w:rsidR="000163A2" w:rsidRPr="00C000B2" w:rsidRDefault="000163A2" w:rsidP="000163A2">
            <w:pPr>
              <w:pStyle w:val="TableText"/>
              <w:ind w:right="113"/>
            </w:pPr>
            <w:r w:rsidRPr="00C000B2">
              <w:t xml:space="preserve">With early diagnosis of chronic </w:t>
            </w:r>
            <w:r w:rsidR="009278A9">
              <w:t>hepatitis C</w:t>
            </w:r>
            <w:r w:rsidRPr="00C000B2">
              <w:t>, people can receive effective treatment to cure the infection and prevent progression to liver cancer.</w:t>
            </w:r>
            <w:r w:rsidRPr="000163A2">
              <w:rPr>
                <w:vertAlign w:val="superscript"/>
              </w:rPr>
              <w:t>420, 476</w:t>
            </w:r>
            <w:r w:rsidRPr="00C000B2">
              <w:t xml:space="preserve"> Antiviral therapy cures </w:t>
            </w:r>
            <w:r w:rsidR="009278A9">
              <w:t>hepatitis C</w:t>
            </w:r>
            <w:r w:rsidRPr="00C000B2">
              <w:t xml:space="preserve"> in over 95</w:t>
            </w:r>
            <w:r>
              <w:t> </w:t>
            </w:r>
            <w:r w:rsidRPr="00C000B2">
              <w:t>percent of people.</w:t>
            </w:r>
            <w:r w:rsidRPr="000163A2">
              <w:rPr>
                <w:vertAlign w:val="superscript"/>
              </w:rPr>
              <w:t>396</w:t>
            </w:r>
            <w:r w:rsidRPr="00C000B2">
              <w:t xml:space="preserve"> Curing the infection is associated with lower rates of liver fibrosis and reduced risk of developing liver cancer.</w:t>
            </w:r>
            <w:r w:rsidRPr="000163A2">
              <w:rPr>
                <w:vertAlign w:val="superscript"/>
              </w:rPr>
              <w:t>396, 469</w:t>
            </w:r>
          </w:p>
          <w:p w14:paraId="2C36D3C5" w14:textId="77777777" w:rsidR="0029210A" w:rsidRDefault="000163A2" w:rsidP="000163A2">
            <w:pPr>
              <w:pStyle w:val="TableText"/>
              <w:ind w:right="113"/>
            </w:pPr>
            <w:r w:rsidRPr="00C000B2">
              <w:t xml:space="preserve">Many European countries and more recently the USA have adopted universal testing of adults for </w:t>
            </w:r>
            <w:r w:rsidR="009278A9">
              <w:t>hepatitis C</w:t>
            </w:r>
            <w:r w:rsidRPr="00C000B2">
              <w:t>.</w:t>
            </w:r>
          </w:p>
        </w:tc>
        <w:tc>
          <w:tcPr>
            <w:tcW w:w="4040" w:type="dxa"/>
            <w:tcBorders>
              <w:top w:val="nil"/>
              <w:left w:val="dashed" w:sz="4" w:space="0" w:color="22B893"/>
              <w:bottom w:val="single" w:sz="8" w:space="0" w:color="22B893"/>
            </w:tcBorders>
          </w:tcPr>
          <w:p w14:paraId="4E66F0FA" w14:textId="77777777" w:rsidR="0029210A" w:rsidRPr="00AB3864" w:rsidRDefault="0029210A" w:rsidP="00AB11A2">
            <w:pPr>
              <w:pStyle w:val="TableText"/>
              <w:ind w:left="113"/>
              <w:rPr>
                <w:sz w:val="20"/>
              </w:rPr>
            </w:pPr>
            <w:r w:rsidRPr="00AB3864">
              <w:rPr>
                <w:sz w:val="20"/>
              </w:rPr>
              <w:t>What is Aotearoa doing currently?</w:t>
            </w:r>
          </w:p>
          <w:p w14:paraId="5E377A70" w14:textId="77777777" w:rsidR="000163A2" w:rsidRPr="00C000B2" w:rsidRDefault="000163A2" w:rsidP="000163A2">
            <w:pPr>
              <w:pStyle w:val="TableText"/>
              <w:ind w:left="113"/>
            </w:pPr>
            <w:r w:rsidRPr="00C000B2">
              <w:t xml:space="preserve">Opportunistic screening for chronic </w:t>
            </w:r>
            <w:r w:rsidR="009278A9">
              <w:t>hepatitis C</w:t>
            </w:r>
            <w:r w:rsidRPr="00C000B2">
              <w:t xml:space="preserve"> in primary care is recommended for people at high risk of infection including those who have a history of injectable drug use, have migrated from a region with high </w:t>
            </w:r>
            <w:r w:rsidR="009278A9">
              <w:t>hepatitis C</w:t>
            </w:r>
            <w:r w:rsidRPr="00C000B2">
              <w:t xml:space="preserve"> prevalence, have spent time in prison, have had a blood transfusion before 1992 or have a history of tattooing or body piercing in unlicensed premises (</w:t>
            </w:r>
            <w:proofErr w:type="spellStart"/>
            <w:r w:rsidRPr="00C000B2">
              <w:t>eg</w:t>
            </w:r>
            <w:proofErr w:type="spellEnd"/>
            <w:r w:rsidRPr="00C000B2">
              <w:t>, prison) or overseas.</w:t>
            </w:r>
            <w:r w:rsidRPr="000163A2">
              <w:rPr>
                <w:vertAlign w:val="superscript"/>
              </w:rPr>
              <w:t>410</w:t>
            </w:r>
            <w:r w:rsidRPr="00C000B2">
              <w:t xml:space="preserve"> As</w:t>
            </w:r>
            <w:r>
              <w:t xml:space="preserve"> </w:t>
            </w:r>
            <w:r w:rsidRPr="00C000B2">
              <w:t xml:space="preserve">at least 20 percent of people with </w:t>
            </w:r>
            <w:r w:rsidR="009278A9">
              <w:t>hepatitis C</w:t>
            </w:r>
            <w:r w:rsidRPr="00C000B2">
              <w:t xml:space="preserve"> do not have identifiable risk factors, this approach is likely to miss cases of infection.</w:t>
            </w:r>
            <w:r w:rsidRPr="000163A2">
              <w:rPr>
                <w:vertAlign w:val="superscript"/>
              </w:rPr>
              <w:t>469</w:t>
            </w:r>
            <w:r w:rsidRPr="00C000B2">
              <w:t xml:space="preserve"> While universal testing has been adopted elsewhere, further assessment of cost-effectiveness and feasibility would be needed before introducing it in Aotearoa.</w:t>
            </w:r>
            <w:r w:rsidRPr="000163A2">
              <w:rPr>
                <w:vertAlign w:val="superscript"/>
              </w:rPr>
              <w:t>414</w:t>
            </w:r>
          </w:p>
          <w:p w14:paraId="11610FCE" w14:textId="77777777" w:rsidR="0029210A" w:rsidRDefault="000163A2" w:rsidP="000163A2">
            <w:pPr>
              <w:pStyle w:val="TableText"/>
              <w:ind w:left="113"/>
            </w:pPr>
            <w:r w:rsidRPr="00C000B2">
              <w:t>Since February 2019, PHARMAC has funded an effective antiviral treatment (</w:t>
            </w:r>
            <w:proofErr w:type="spellStart"/>
            <w:r w:rsidRPr="00C000B2">
              <w:t>Maviret</w:t>
            </w:r>
            <w:proofErr w:type="spellEnd"/>
            <w:r w:rsidRPr="00C000B2">
              <w:t xml:space="preserve">) for </w:t>
            </w:r>
            <w:r w:rsidR="009278A9">
              <w:t>hepatitis C</w:t>
            </w:r>
            <w:r w:rsidRPr="00C000B2">
              <w:t xml:space="preserve"> without restriction.</w:t>
            </w:r>
            <w:r w:rsidRPr="000163A2">
              <w:rPr>
                <w:vertAlign w:val="superscript"/>
              </w:rPr>
              <w:t>396</w:t>
            </w:r>
          </w:p>
        </w:tc>
      </w:tr>
    </w:tbl>
    <w:p w14:paraId="6F53C612" w14:textId="77777777" w:rsidR="00EF27EC" w:rsidRPr="00C000B2" w:rsidRDefault="00EF27EC" w:rsidP="000163A2">
      <w:r w:rsidRPr="00C000B2">
        <w:rPr>
          <w:noProof/>
          <w:lang w:eastAsia="en-NZ"/>
        </w:rPr>
        <mc:AlternateContent>
          <mc:Choice Requires="wps">
            <w:drawing>
              <wp:anchor distT="0" distB="0" distL="114300" distR="114300" simplePos="0" relativeHeight="252135424" behindDoc="1" locked="0" layoutInCell="1" allowOverlap="1" wp14:anchorId="67BD6883" wp14:editId="262E4986">
                <wp:simplePos x="0" y="0"/>
                <wp:positionH relativeFrom="page">
                  <wp:posOffset>3773805</wp:posOffset>
                </wp:positionH>
                <wp:positionV relativeFrom="page">
                  <wp:posOffset>5274945</wp:posOffset>
                </wp:positionV>
                <wp:extent cx="12700" cy="12700"/>
                <wp:effectExtent l="1905" t="7620" r="4445" b="8255"/>
                <wp:wrapNone/>
                <wp:docPr id="89" name="Freeform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943 5943"/>
                            <a:gd name="T1" fmla="*/ T0 w 20"/>
                            <a:gd name="T2" fmla="+- 0 8317 8307"/>
                            <a:gd name="T3" fmla="*/ 8317 h 20"/>
                            <a:gd name="T4" fmla="+- 0 5946 5943"/>
                            <a:gd name="T5" fmla="*/ T4 w 20"/>
                            <a:gd name="T6" fmla="+- 0 8310 8307"/>
                            <a:gd name="T7" fmla="*/ 8310 h 20"/>
                            <a:gd name="T8" fmla="+- 0 5953 5943"/>
                            <a:gd name="T9" fmla="*/ T8 w 20"/>
                            <a:gd name="T10" fmla="+- 0 8307 8307"/>
                            <a:gd name="T11" fmla="*/ 8307 h 20"/>
                            <a:gd name="T12" fmla="+- 0 5960 5943"/>
                            <a:gd name="T13" fmla="*/ T12 w 20"/>
                            <a:gd name="T14" fmla="+- 0 8310 8307"/>
                            <a:gd name="T15" fmla="*/ 8310 h 20"/>
                            <a:gd name="T16" fmla="+- 0 5963 5943"/>
                            <a:gd name="T17" fmla="*/ T16 w 20"/>
                            <a:gd name="T18" fmla="+- 0 8317 8307"/>
                            <a:gd name="T19" fmla="*/ 8317 h 20"/>
                            <a:gd name="T20" fmla="+- 0 5960 5943"/>
                            <a:gd name="T21" fmla="*/ T20 w 20"/>
                            <a:gd name="T22" fmla="+- 0 8324 8307"/>
                            <a:gd name="T23" fmla="*/ 8324 h 20"/>
                            <a:gd name="T24" fmla="+- 0 5953 5943"/>
                            <a:gd name="T25" fmla="*/ T24 w 20"/>
                            <a:gd name="T26" fmla="+- 0 8327 8307"/>
                            <a:gd name="T27" fmla="*/ 8327 h 20"/>
                            <a:gd name="T28" fmla="+- 0 5946 5943"/>
                            <a:gd name="T29" fmla="*/ T28 w 20"/>
                            <a:gd name="T30" fmla="+- 0 8324 8307"/>
                            <a:gd name="T31" fmla="*/ 8324 h 20"/>
                            <a:gd name="T32" fmla="+- 0 5943 5943"/>
                            <a:gd name="T33" fmla="*/ T32 w 20"/>
                            <a:gd name="T34" fmla="+- 0 8317 8307"/>
                            <a:gd name="T35" fmla="*/ 831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AE892" id="Freeform 89" o:spid="_x0000_s1026" alt="&quot;&quot;" style="position:absolute;margin-left:297.15pt;margin-top:415.35pt;width:1pt;height:1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" path="m,10l3,3,10,r7,3l20,10r-3,7l10,20,3,17,,10xe" fillcolor="#22b893" stroked="f">
                <v:path arrowok="t" o:connecttype="custom" o:connectlocs="0,5281295;1905,5276850;6350,5274945;10795,5276850;12700,5281295;10795,5285740;6350,5287645;1905,5285740;0,5281295"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136448" behindDoc="1" locked="0" layoutInCell="1" allowOverlap="1" wp14:anchorId="2E22B12A" wp14:editId="58C74DAE">
                <wp:simplePos x="0" y="0"/>
                <wp:positionH relativeFrom="page">
                  <wp:posOffset>3773805</wp:posOffset>
                </wp:positionH>
                <wp:positionV relativeFrom="page">
                  <wp:posOffset>1301750</wp:posOffset>
                </wp:positionV>
                <wp:extent cx="12700" cy="12700"/>
                <wp:effectExtent l="1905" t="6350" r="4445" b="0"/>
                <wp:wrapNone/>
                <wp:docPr id="88" name="Freeform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943 5943"/>
                            <a:gd name="T1" fmla="*/ T0 w 20"/>
                            <a:gd name="T2" fmla="+- 0 2060 2050"/>
                            <a:gd name="T3" fmla="*/ 2060 h 20"/>
                            <a:gd name="T4" fmla="+- 0 5946 5943"/>
                            <a:gd name="T5" fmla="*/ T4 w 20"/>
                            <a:gd name="T6" fmla="+- 0 2053 2050"/>
                            <a:gd name="T7" fmla="*/ 2053 h 20"/>
                            <a:gd name="T8" fmla="+- 0 5953 5943"/>
                            <a:gd name="T9" fmla="*/ T8 w 20"/>
                            <a:gd name="T10" fmla="+- 0 2050 2050"/>
                            <a:gd name="T11" fmla="*/ 2050 h 20"/>
                            <a:gd name="T12" fmla="+- 0 5960 5943"/>
                            <a:gd name="T13" fmla="*/ T12 w 20"/>
                            <a:gd name="T14" fmla="+- 0 2053 2050"/>
                            <a:gd name="T15" fmla="*/ 2053 h 20"/>
                            <a:gd name="T16" fmla="+- 0 5963 5943"/>
                            <a:gd name="T17" fmla="*/ T16 w 20"/>
                            <a:gd name="T18" fmla="+- 0 2060 2050"/>
                            <a:gd name="T19" fmla="*/ 2060 h 20"/>
                            <a:gd name="T20" fmla="+- 0 5960 5943"/>
                            <a:gd name="T21" fmla="*/ T20 w 20"/>
                            <a:gd name="T22" fmla="+- 0 2067 2050"/>
                            <a:gd name="T23" fmla="*/ 2067 h 20"/>
                            <a:gd name="T24" fmla="+- 0 5953 5943"/>
                            <a:gd name="T25" fmla="*/ T24 w 20"/>
                            <a:gd name="T26" fmla="+- 0 2070 2050"/>
                            <a:gd name="T27" fmla="*/ 2070 h 20"/>
                            <a:gd name="T28" fmla="+- 0 5946 5943"/>
                            <a:gd name="T29" fmla="*/ T28 w 20"/>
                            <a:gd name="T30" fmla="+- 0 2067 2050"/>
                            <a:gd name="T31" fmla="*/ 2067 h 20"/>
                            <a:gd name="T32" fmla="+- 0 5943 5943"/>
                            <a:gd name="T33" fmla="*/ T32 w 20"/>
                            <a:gd name="T34" fmla="+- 0 2060 2050"/>
                            <a:gd name="T35" fmla="*/ 206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F9D8" id="Freeform 88" o:spid="_x0000_s1026" alt="&quot;&quot;" style="position:absolute;margin-left:297.15pt;margin-top:102.5pt;width:1pt;height:1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" path="m,10l3,3,10,r7,3l20,10r-3,7l10,20,3,17,,10xe" fillcolor="#22b893" stroked="f">
                <v:path arrowok="t" o:connecttype="custom" o:connectlocs="0,1308100;1905,1303655;6350,1301750;10795,1303655;12700,1308100;10795,1312545;6350,1314450;1905,1312545;0,1308100"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137472" behindDoc="1" locked="0" layoutInCell="1" allowOverlap="1" wp14:anchorId="29062D74" wp14:editId="70FBE84C">
                <wp:simplePos x="0" y="0"/>
                <wp:positionH relativeFrom="page">
                  <wp:posOffset>3773805</wp:posOffset>
                </wp:positionH>
                <wp:positionV relativeFrom="page">
                  <wp:posOffset>9065260</wp:posOffset>
                </wp:positionV>
                <wp:extent cx="12700" cy="12700"/>
                <wp:effectExtent l="1905" t="6985" r="4445" b="8890"/>
                <wp:wrapNone/>
                <wp:docPr id="87" name="Freeform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943 5943"/>
                            <a:gd name="T1" fmla="*/ T0 w 20"/>
                            <a:gd name="T2" fmla="+- 0 14286 14276"/>
                            <a:gd name="T3" fmla="*/ 14286 h 20"/>
                            <a:gd name="T4" fmla="+- 0 5946 5943"/>
                            <a:gd name="T5" fmla="*/ T4 w 20"/>
                            <a:gd name="T6" fmla="+- 0 14279 14276"/>
                            <a:gd name="T7" fmla="*/ 14279 h 20"/>
                            <a:gd name="T8" fmla="+- 0 5953 5943"/>
                            <a:gd name="T9" fmla="*/ T8 w 20"/>
                            <a:gd name="T10" fmla="+- 0 14276 14276"/>
                            <a:gd name="T11" fmla="*/ 14276 h 20"/>
                            <a:gd name="T12" fmla="+- 0 5960 5943"/>
                            <a:gd name="T13" fmla="*/ T12 w 20"/>
                            <a:gd name="T14" fmla="+- 0 14279 14276"/>
                            <a:gd name="T15" fmla="*/ 14279 h 20"/>
                            <a:gd name="T16" fmla="+- 0 5963 5943"/>
                            <a:gd name="T17" fmla="*/ T16 w 20"/>
                            <a:gd name="T18" fmla="+- 0 14286 14276"/>
                            <a:gd name="T19" fmla="*/ 14286 h 20"/>
                            <a:gd name="T20" fmla="+- 0 5960 5943"/>
                            <a:gd name="T21" fmla="*/ T20 w 20"/>
                            <a:gd name="T22" fmla="+- 0 14293 14276"/>
                            <a:gd name="T23" fmla="*/ 14293 h 20"/>
                            <a:gd name="T24" fmla="+- 0 5953 5943"/>
                            <a:gd name="T25" fmla="*/ T24 w 20"/>
                            <a:gd name="T26" fmla="+- 0 14296 14276"/>
                            <a:gd name="T27" fmla="*/ 14296 h 20"/>
                            <a:gd name="T28" fmla="+- 0 5946 5943"/>
                            <a:gd name="T29" fmla="*/ T28 w 20"/>
                            <a:gd name="T30" fmla="+- 0 14293 14276"/>
                            <a:gd name="T31" fmla="*/ 14293 h 20"/>
                            <a:gd name="T32" fmla="+- 0 5943 5943"/>
                            <a:gd name="T33" fmla="*/ T32 w 20"/>
                            <a:gd name="T34" fmla="+- 0 14286 14276"/>
                            <a:gd name="T35" fmla="*/ 1428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E7A43" id="Freeform 87" o:spid="_x0000_s1026" alt="&quot;&quot;" style="position:absolute;margin-left:297.15pt;margin-top:713.8pt;width:1pt;height:1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" path="m,10l3,3,10,r7,3l20,10r-3,7l10,20,3,17,,10xe" fillcolor="#22b893" stroked="f">
                <v:path arrowok="t" o:connecttype="custom" o:connectlocs="0,9071610;1905,9067165;6350,9065260;10795,9067165;12700,9071610;10795,9076055;6350,9077960;1905,9076055;0,9071610" o:connectangles="0,0,0,0,0,0,0,0,0"/>
                <w10:wrap anchorx="page" anchory="page"/>
              </v:shape>
            </w:pict>
          </mc:Fallback>
        </mc:AlternateContent>
      </w:r>
      <w:r w:rsidRPr="00C000B2">
        <w:rPr>
          <w:noProof/>
          <w:lang w:eastAsia="en-NZ"/>
        </w:rPr>
        <mc:AlternateContent>
          <mc:Choice Requires="wps">
            <w:drawing>
              <wp:anchor distT="0" distB="0" distL="114300" distR="114300" simplePos="0" relativeHeight="252138496" behindDoc="1" locked="0" layoutInCell="1" allowOverlap="1" wp14:anchorId="44D22E9B" wp14:editId="0B0B8E85">
                <wp:simplePos x="0" y="0"/>
                <wp:positionH relativeFrom="page">
                  <wp:posOffset>3773805</wp:posOffset>
                </wp:positionH>
                <wp:positionV relativeFrom="page">
                  <wp:posOffset>5897245</wp:posOffset>
                </wp:positionV>
                <wp:extent cx="12700" cy="12700"/>
                <wp:effectExtent l="1905" t="1270" r="4445" b="5080"/>
                <wp:wrapNone/>
                <wp:docPr id="86" name="Freeform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5943 5943"/>
                            <a:gd name="T1" fmla="*/ T0 w 20"/>
                            <a:gd name="T2" fmla="+- 0 9297 9287"/>
                            <a:gd name="T3" fmla="*/ 9297 h 20"/>
                            <a:gd name="T4" fmla="+- 0 5946 5943"/>
                            <a:gd name="T5" fmla="*/ T4 w 20"/>
                            <a:gd name="T6" fmla="+- 0 9289 9287"/>
                            <a:gd name="T7" fmla="*/ 9289 h 20"/>
                            <a:gd name="T8" fmla="+- 0 5953 5943"/>
                            <a:gd name="T9" fmla="*/ T8 w 20"/>
                            <a:gd name="T10" fmla="+- 0 9287 9287"/>
                            <a:gd name="T11" fmla="*/ 9287 h 20"/>
                            <a:gd name="T12" fmla="+- 0 5960 5943"/>
                            <a:gd name="T13" fmla="*/ T12 w 20"/>
                            <a:gd name="T14" fmla="+- 0 9289 9287"/>
                            <a:gd name="T15" fmla="*/ 9289 h 20"/>
                            <a:gd name="T16" fmla="+- 0 5963 5943"/>
                            <a:gd name="T17" fmla="*/ T16 w 20"/>
                            <a:gd name="T18" fmla="+- 0 9297 9287"/>
                            <a:gd name="T19" fmla="*/ 9297 h 20"/>
                            <a:gd name="T20" fmla="+- 0 5960 5943"/>
                            <a:gd name="T21" fmla="*/ T20 w 20"/>
                            <a:gd name="T22" fmla="+- 0 9304 9287"/>
                            <a:gd name="T23" fmla="*/ 9304 h 20"/>
                            <a:gd name="T24" fmla="+- 0 5953 5943"/>
                            <a:gd name="T25" fmla="*/ T24 w 20"/>
                            <a:gd name="T26" fmla="+- 0 9307 9287"/>
                            <a:gd name="T27" fmla="*/ 9307 h 20"/>
                            <a:gd name="T28" fmla="+- 0 5946 5943"/>
                            <a:gd name="T29" fmla="*/ T28 w 20"/>
                            <a:gd name="T30" fmla="+- 0 9304 9287"/>
                            <a:gd name="T31" fmla="*/ 9304 h 20"/>
                            <a:gd name="T32" fmla="+- 0 5943 5943"/>
                            <a:gd name="T33" fmla="*/ T32 w 20"/>
                            <a:gd name="T34" fmla="+- 0 9297 9287"/>
                            <a:gd name="T35" fmla="*/ 929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148B7" id="Freeform 86" o:spid="_x0000_s1026" alt="&quot;&quot;" style="position:absolute;margin-left:297.15pt;margin-top:464.35pt;width:1pt;height:1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" path="m,10l3,2,10,r7,2l20,10r-3,7l10,20,3,17,,10xe" fillcolor="#22b893" stroked="f">
                <v:path arrowok="t" o:connecttype="custom" o:connectlocs="0,5903595;1905,5898515;6350,5897245;10795,5898515;12700,5903595;10795,5908040;6350,5909945;1905,5908040;0,5903595" o:connectangles="0,0,0,0,0,0,0,0,0"/>
                <w10:wrap anchorx="page" anchory="page"/>
              </v:shape>
            </w:pict>
          </mc:Fallback>
        </mc:AlternateContent>
      </w:r>
    </w:p>
    <w:p w14:paraId="7BE2840A" w14:textId="77777777" w:rsidR="00EF27EC" w:rsidRPr="00C000B2" w:rsidRDefault="00EF27EC" w:rsidP="008A788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13DA9C02" w14:textId="77777777" w:rsidTr="00AB11A2">
        <w:trPr>
          <w:cantSplit/>
        </w:trPr>
        <w:tc>
          <w:tcPr>
            <w:tcW w:w="8080" w:type="dxa"/>
            <w:gridSpan w:val="2"/>
            <w:tcBorders>
              <w:bottom w:val="nil"/>
            </w:tcBorders>
            <w:shd w:val="clear" w:color="auto" w:fill="D7EDE4"/>
          </w:tcPr>
          <w:p w14:paraId="3BF07C3A" w14:textId="77777777" w:rsidR="0029210A" w:rsidRPr="00AB3864" w:rsidRDefault="0029210A" w:rsidP="008A788A">
            <w:pPr>
              <w:pStyle w:val="TableText"/>
              <w:spacing w:before="120"/>
              <w:rPr>
                <w:b/>
                <w:sz w:val="22"/>
                <w:szCs w:val="22"/>
              </w:rPr>
            </w:pPr>
            <w:r w:rsidRPr="00AB3864">
              <w:rPr>
                <w:b/>
                <w:sz w:val="22"/>
                <w:szCs w:val="22"/>
              </w:rPr>
              <w:lastRenderedPageBreak/>
              <w:t xml:space="preserve">Action: </w:t>
            </w:r>
            <w:r w:rsidR="000163A2" w:rsidRPr="00C000B2">
              <w:t>Improve how individuals with H. pylori infection can be identified and treated</w:t>
            </w:r>
          </w:p>
        </w:tc>
      </w:tr>
      <w:tr w:rsidR="0029210A" w14:paraId="00864F37" w14:textId="77777777" w:rsidTr="008A788A">
        <w:trPr>
          <w:cantSplit/>
        </w:trPr>
        <w:tc>
          <w:tcPr>
            <w:tcW w:w="4040" w:type="dxa"/>
            <w:tcBorders>
              <w:top w:val="nil"/>
              <w:bottom w:val="single" w:sz="8" w:space="0" w:color="22B893"/>
              <w:right w:val="dashed" w:sz="4" w:space="0" w:color="22B893"/>
            </w:tcBorders>
          </w:tcPr>
          <w:p w14:paraId="449FB186" w14:textId="77777777" w:rsidR="0029210A" w:rsidRPr="00AB3864" w:rsidRDefault="0029210A" w:rsidP="00AB11A2">
            <w:pPr>
              <w:pStyle w:val="TableText"/>
              <w:ind w:right="142"/>
              <w:rPr>
                <w:sz w:val="20"/>
              </w:rPr>
            </w:pPr>
            <w:r w:rsidRPr="00AB3864">
              <w:rPr>
                <w:sz w:val="20"/>
              </w:rPr>
              <w:t>What is the evidence?</w:t>
            </w:r>
          </w:p>
          <w:p w14:paraId="3D6A2F61" w14:textId="77777777" w:rsidR="000163A2" w:rsidRPr="00C000B2" w:rsidRDefault="000163A2" w:rsidP="000163A2">
            <w:pPr>
              <w:pStyle w:val="TableText"/>
              <w:ind w:right="113"/>
            </w:pPr>
            <w:r w:rsidRPr="00C000B2">
              <w:t xml:space="preserve">Screening for </w:t>
            </w:r>
            <w:r w:rsidRPr="00C000B2">
              <w:rPr>
                <w:i/>
              </w:rPr>
              <w:t xml:space="preserve">H. pylori </w:t>
            </w:r>
            <w:r w:rsidRPr="00C000B2">
              <w:t xml:space="preserve">and treating the infection with antibiotics reduces the incidence of </w:t>
            </w:r>
            <w:proofErr w:type="spellStart"/>
            <w:r w:rsidRPr="00C000B2">
              <w:t>stomch</w:t>
            </w:r>
            <w:proofErr w:type="spellEnd"/>
            <w:r w:rsidRPr="00C000B2">
              <w:t xml:space="preserve"> cancer in the short and long term.</w:t>
            </w:r>
            <w:r w:rsidRPr="000163A2">
              <w:rPr>
                <w:vertAlign w:val="superscript"/>
              </w:rPr>
              <w:t>480–482</w:t>
            </w:r>
          </w:p>
          <w:p w14:paraId="2DA883F1" w14:textId="77777777" w:rsidR="000163A2" w:rsidRPr="00C000B2" w:rsidRDefault="000163A2" w:rsidP="000163A2">
            <w:pPr>
              <w:pStyle w:val="TableText"/>
              <w:ind w:right="113"/>
            </w:pPr>
            <w:r w:rsidRPr="00C000B2">
              <w:t xml:space="preserve">In 2014, IARC and WHO recommended that countries explore the possibility of introducing population-based </w:t>
            </w:r>
            <w:r w:rsidRPr="00C000B2">
              <w:rPr>
                <w:i/>
              </w:rPr>
              <w:t>H.</w:t>
            </w:r>
            <w:r>
              <w:rPr>
                <w:i/>
              </w:rPr>
              <w:t> </w:t>
            </w:r>
            <w:r w:rsidRPr="00C000B2">
              <w:rPr>
                <w:i/>
              </w:rPr>
              <w:t xml:space="preserve">pylori </w:t>
            </w:r>
            <w:r w:rsidRPr="00C000B2">
              <w:t>screening and treatment programmes for people without symptoms.</w:t>
            </w:r>
            <w:r w:rsidRPr="000163A2">
              <w:rPr>
                <w:vertAlign w:val="superscript"/>
              </w:rPr>
              <w:t>483, 484</w:t>
            </w:r>
          </w:p>
          <w:p w14:paraId="34DA7703" w14:textId="77777777" w:rsidR="0029210A" w:rsidRDefault="000163A2" w:rsidP="000163A2">
            <w:pPr>
              <w:pStyle w:val="TableText"/>
              <w:ind w:right="113"/>
            </w:pPr>
            <w:r w:rsidRPr="00C000B2">
              <w:t xml:space="preserve">Stomach cancer screening, often including </w:t>
            </w:r>
            <w:r w:rsidRPr="00C000B2">
              <w:rPr>
                <w:i/>
              </w:rPr>
              <w:t>H.</w:t>
            </w:r>
            <w:r>
              <w:rPr>
                <w:i/>
              </w:rPr>
              <w:t> </w:t>
            </w:r>
            <w:r w:rsidRPr="00C000B2">
              <w:rPr>
                <w:i/>
              </w:rPr>
              <w:t xml:space="preserve">pylori </w:t>
            </w:r>
            <w:r w:rsidRPr="00C000B2">
              <w:t xml:space="preserve">screening and treatment occurs in several </w:t>
            </w:r>
            <w:proofErr w:type="gramStart"/>
            <w:r w:rsidRPr="00C000B2">
              <w:t>high risk</w:t>
            </w:r>
            <w:proofErr w:type="gramEnd"/>
            <w:r w:rsidRPr="00C000B2">
              <w:t xml:space="preserve"> populations, including in Japan and some parts of China.</w:t>
            </w:r>
            <w:r w:rsidRPr="000163A2">
              <w:rPr>
                <w:vertAlign w:val="superscript"/>
              </w:rPr>
              <w:t>485</w:t>
            </w:r>
            <w:r w:rsidRPr="00C000B2">
              <w:t xml:space="preserve"> For example, on Matsu island, Taiwan, mass screening and treatment of </w:t>
            </w:r>
            <w:r w:rsidRPr="00C000B2">
              <w:rPr>
                <w:i/>
              </w:rPr>
              <w:t>H.</w:t>
            </w:r>
            <w:r>
              <w:rPr>
                <w:i/>
              </w:rPr>
              <w:t> </w:t>
            </w:r>
            <w:r w:rsidRPr="00C000B2">
              <w:rPr>
                <w:i/>
              </w:rPr>
              <w:t xml:space="preserve">pylori </w:t>
            </w:r>
            <w:r w:rsidRPr="00C000B2">
              <w:t>from 2004</w:t>
            </w:r>
            <w:r>
              <w:t>–</w:t>
            </w:r>
            <w:r w:rsidRPr="00C000B2">
              <w:t xml:space="preserve">2018 resulted in 79 percent eradication of </w:t>
            </w:r>
            <w:r w:rsidRPr="00C000B2">
              <w:rPr>
                <w:i/>
              </w:rPr>
              <w:t>H.</w:t>
            </w:r>
            <w:r>
              <w:rPr>
                <w:i/>
              </w:rPr>
              <w:t> </w:t>
            </w:r>
            <w:r w:rsidRPr="00C000B2">
              <w:rPr>
                <w:i/>
              </w:rPr>
              <w:t>pylori</w:t>
            </w:r>
            <w:r>
              <w:t xml:space="preserve"> </w:t>
            </w:r>
            <w:r w:rsidRPr="00C000B2">
              <w:t>and a decrease in stomach cancer incidence and mortality.</w:t>
            </w:r>
            <w:r w:rsidRPr="000163A2">
              <w:rPr>
                <w:vertAlign w:val="superscript"/>
              </w:rPr>
              <w:t>486</w:t>
            </w:r>
          </w:p>
        </w:tc>
        <w:tc>
          <w:tcPr>
            <w:tcW w:w="4040" w:type="dxa"/>
            <w:tcBorders>
              <w:top w:val="nil"/>
              <w:left w:val="dashed" w:sz="4" w:space="0" w:color="22B893"/>
              <w:bottom w:val="single" w:sz="8" w:space="0" w:color="22B893"/>
            </w:tcBorders>
          </w:tcPr>
          <w:p w14:paraId="3C148C5A" w14:textId="77777777" w:rsidR="0029210A" w:rsidRPr="00AB3864" w:rsidRDefault="0029210A" w:rsidP="00AB11A2">
            <w:pPr>
              <w:pStyle w:val="TableText"/>
              <w:ind w:left="113"/>
              <w:rPr>
                <w:sz w:val="20"/>
              </w:rPr>
            </w:pPr>
            <w:r w:rsidRPr="00AB3864">
              <w:rPr>
                <w:sz w:val="20"/>
              </w:rPr>
              <w:t>What is Aotearoa doing currently?</w:t>
            </w:r>
          </w:p>
          <w:p w14:paraId="7B591F80" w14:textId="77777777" w:rsidR="000163A2" w:rsidRPr="00C000B2" w:rsidRDefault="000163A2" w:rsidP="000163A2">
            <w:pPr>
              <w:pStyle w:val="TableText"/>
              <w:ind w:left="113"/>
            </w:pPr>
            <w:r w:rsidRPr="00C000B2">
              <w:t xml:space="preserve">Guidelines for Aotearoa </w:t>
            </w:r>
            <w:r w:rsidRPr="000163A2">
              <w:t xml:space="preserve">recommend </w:t>
            </w:r>
            <w:r w:rsidRPr="000163A2">
              <w:rPr>
                <w:i/>
              </w:rPr>
              <w:t>H. pylori</w:t>
            </w:r>
            <w:r w:rsidRPr="000163A2">
              <w:t xml:space="preserve"> </w:t>
            </w:r>
            <w:r w:rsidRPr="00C000B2">
              <w:t xml:space="preserve">testing and treatment for people with symptoms of dyspepsia (indigestion, </w:t>
            </w:r>
            <w:proofErr w:type="gramStart"/>
            <w:r w:rsidRPr="00C000B2">
              <w:t>heartburn</w:t>
            </w:r>
            <w:proofErr w:type="gramEnd"/>
            <w:r w:rsidRPr="00C000B2">
              <w:t xml:space="preserve"> or reflux) who are at higher risk of infection (such as Māori and Pacific patients).</w:t>
            </w:r>
            <w:r w:rsidRPr="000163A2">
              <w:rPr>
                <w:vertAlign w:val="superscript"/>
              </w:rPr>
              <w:t>404</w:t>
            </w:r>
            <w:r w:rsidRPr="00C000B2">
              <w:t xml:space="preserve"> As most people with </w:t>
            </w:r>
            <w:r w:rsidRPr="000163A2">
              <w:rPr>
                <w:i/>
              </w:rPr>
              <w:t>H. pylori</w:t>
            </w:r>
            <w:r w:rsidRPr="00C000B2">
              <w:rPr>
                <w:i/>
              </w:rPr>
              <w:t xml:space="preserve"> </w:t>
            </w:r>
            <w:r w:rsidRPr="00C000B2">
              <w:t>do not have symptoms, the current approach to testing is likely to miss many cases of infection.</w:t>
            </w:r>
          </w:p>
          <w:p w14:paraId="251A644B" w14:textId="77777777" w:rsidR="0029210A" w:rsidRDefault="000163A2" w:rsidP="000163A2">
            <w:pPr>
              <w:pStyle w:val="TableText"/>
              <w:ind w:left="113"/>
            </w:pPr>
            <w:r w:rsidRPr="00C000B2">
              <w:t xml:space="preserve">Aotearoa modelling studies show that screening for </w:t>
            </w:r>
            <w:r w:rsidRPr="000163A2">
              <w:rPr>
                <w:i/>
              </w:rPr>
              <w:t>H. pylori</w:t>
            </w:r>
            <w:r w:rsidRPr="000163A2">
              <w:t xml:space="preserve"> (</w:t>
            </w:r>
            <w:r w:rsidRPr="00C000B2">
              <w:t>for example, taking stool samples or conducting breath tests) in Māori and Pacific</w:t>
            </w:r>
            <w:r>
              <w:t xml:space="preserve"> </w:t>
            </w:r>
            <w:r w:rsidRPr="00C000B2">
              <w:t>peoples who do not have symptoms is likely to be cost-effective in Aotearoa</w:t>
            </w:r>
            <w:r w:rsidRPr="000163A2">
              <w:rPr>
                <w:vertAlign w:val="superscript"/>
              </w:rPr>
              <w:t>487</w:t>
            </w:r>
            <w:r w:rsidRPr="00C000B2">
              <w:t xml:space="preserve"> and could reduce the risk of stomach cancer by one-third.</w:t>
            </w:r>
            <w:r w:rsidRPr="000163A2">
              <w:rPr>
                <w:vertAlign w:val="superscript"/>
              </w:rPr>
              <w:t>388, 487</w:t>
            </w:r>
            <w:r w:rsidRPr="00C000B2">
              <w:t xml:space="preserve"> However, more information, including up-to-date estimates of</w:t>
            </w:r>
            <w:r>
              <w:t xml:space="preserve"> </w:t>
            </w:r>
            <w:r w:rsidRPr="00C000B2">
              <w:rPr>
                <w:i/>
              </w:rPr>
              <w:t xml:space="preserve">H. pylori </w:t>
            </w:r>
            <w:r w:rsidRPr="00C000B2">
              <w:t>prevalence rates, is needed before such a programme could be implemented in Aotearoa.</w:t>
            </w:r>
            <w:r w:rsidRPr="000163A2">
              <w:rPr>
                <w:vertAlign w:val="superscript"/>
              </w:rPr>
              <w:t>388</w:t>
            </w:r>
          </w:p>
        </w:tc>
      </w:tr>
    </w:tbl>
    <w:p w14:paraId="3B99ACC6" w14:textId="77777777" w:rsidR="00EF27EC" w:rsidRDefault="00EF27EC" w:rsidP="008A788A">
      <w:pPr>
        <w:spacing w:after="240"/>
      </w:pPr>
    </w:p>
    <w:tbl>
      <w:tblPr>
        <w:tblStyle w:val="TableGrid"/>
        <w:tblW w:w="8080" w:type="dxa"/>
        <w:tblInd w:w="57" w:type="dxa"/>
        <w:tblBorders>
          <w:top w:val="none" w:sz="0" w:space="0" w:color="auto"/>
          <w:left w:val="none" w:sz="0" w:space="0" w:color="auto"/>
          <w:bottom w:val="single" w:sz="8" w:space="0" w:color="22B893"/>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40"/>
        <w:gridCol w:w="4040"/>
      </w:tblGrid>
      <w:tr w:rsidR="0029210A" w:rsidRPr="00AB3864" w14:paraId="5CB40310" w14:textId="77777777" w:rsidTr="00AB11A2">
        <w:trPr>
          <w:cantSplit/>
        </w:trPr>
        <w:tc>
          <w:tcPr>
            <w:tcW w:w="8080" w:type="dxa"/>
            <w:gridSpan w:val="2"/>
            <w:tcBorders>
              <w:bottom w:val="nil"/>
            </w:tcBorders>
            <w:shd w:val="clear" w:color="auto" w:fill="D7EDE4"/>
          </w:tcPr>
          <w:p w14:paraId="1185FFD3" w14:textId="77777777" w:rsidR="0029210A" w:rsidRPr="00AB3864" w:rsidRDefault="0029210A" w:rsidP="008A788A">
            <w:pPr>
              <w:pStyle w:val="TableText"/>
              <w:spacing w:before="120"/>
              <w:rPr>
                <w:b/>
                <w:sz w:val="22"/>
                <w:szCs w:val="22"/>
              </w:rPr>
            </w:pPr>
            <w:r w:rsidRPr="00AB3864">
              <w:rPr>
                <w:b/>
                <w:sz w:val="22"/>
                <w:szCs w:val="22"/>
              </w:rPr>
              <w:t xml:space="preserve">Action: </w:t>
            </w:r>
            <w:r w:rsidR="000163A2" w:rsidRPr="000163A2">
              <w:rPr>
                <w:sz w:val="22"/>
                <w:szCs w:val="22"/>
              </w:rPr>
              <w:t>Improve how individuals with HIV infection can be identified, treated, monitored and followed-up</w:t>
            </w:r>
          </w:p>
        </w:tc>
      </w:tr>
      <w:tr w:rsidR="0029210A" w14:paraId="381DE7B0" w14:textId="77777777" w:rsidTr="008A788A">
        <w:trPr>
          <w:cantSplit/>
        </w:trPr>
        <w:tc>
          <w:tcPr>
            <w:tcW w:w="4040" w:type="dxa"/>
            <w:tcBorders>
              <w:top w:val="nil"/>
              <w:bottom w:val="single" w:sz="8" w:space="0" w:color="22B893"/>
              <w:right w:val="dashed" w:sz="4" w:space="0" w:color="22B893"/>
            </w:tcBorders>
          </w:tcPr>
          <w:p w14:paraId="00E66C9C" w14:textId="77777777" w:rsidR="0029210A" w:rsidRPr="00AB3864" w:rsidRDefault="0029210A" w:rsidP="00AB11A2">
            <w:pPr>
              <w:pStyle w:val="TableText"/>
              <w:ind w:right="142"/>
              <w:rPr>
                <w:sz w:val="20"/>
              </w:rPr>
            </w:pPr>
            <w:r w:rsidRPr="00AB3864">
              <w:rPr>
                <w:sz w:val="20"/>
              </w:rPr>
              <w:t>What is the evidence?</w:t>
            </w:r>
          </w:p>
          <w:p w14:paraId="22E15073" w14:textId="77777777" w:rsidR="000163A2" w:rsidRPr="00C000B2" w:rsidRDefault="000163A2" w:rsidP="000163A2">
            <w:pPr>
              <w:pStyle w:val="TableText"/>
              <w:ind w:right="113"/>
            </w:pPr>
            <w:r w:rsidRPr="00C000B2">
              <w:t>Early detection of HIV and prompt management can result in good outcomes for the individual. Timely access to antiretroviral therapy (ART) and support to remain on treatment can result in suppressed viral load, prevent HIV transmission and result in people with HIV leading long healthy lives.</w:t>
            </w:r>
            <w:r w:rsidRPr="000163A2">
              <w:rPr>
                <w:vertAlign w:val="superscript"/>
              </w:rPr>
              <w:t>419</w:t>
            </w:r>
          </w:p>
          <w:p w14:paraId="38D812F6" w14:textId="77777777" w:rsidR="0029210A" w:rsidRDefault="000163A2" w:rsidP="000163A2">
            <w:pPr>
              <w:pStyle w:val="TableText"/>
              <w:ind w:right="113"/>
            </w:pPr>
            <w:r w:rsidRPr="00C000B2">
              <w:t>Since 2016, WHO has recommended that all people living with HIV be provided with lifelong ART, regardless of clinical status or</w:t>
            </w:r>
            <w:r>
              <w:t xml:space="preserve"> </w:t>
            </w:r>
            <w:r w:rsidRPr="00C000B2">
              <w:t>CD4 cell count. ART should be offered on the same day as diagnosis to those ready to start treatment.</w:t>
            </w:r>
            <w:r w:rsidRPr="000163A2">
              <w:rPr>
                <w:vertAlign w:val="superscript"/>
              </w:rPr>
              <w:t>419</w:t>
            </w:r>
          </w:p>
        </w:tc>
        <w:tc>
          <w:tcPr>
            <w:tcW w:w="4040" w:type="dxa"/>
            <w:tcBorders>
              <w:top w:val="nil"/>
              <w:left w:val="dashed" w:sz="4" w:space="0" w:color="22B893"/>
              <w:bottom w:val="single" w:sz="8" w:space="0" w:color="22B893"/>
            </w:tcBorders>
          </w:tcPr>
          <w:p w14:paraId="545C3BC6" w14:textId="77777777" w:rsidR="0029210A" w:rsidRPr="00AB3864" w:rsidRDefault="0029210A" w:rsidP="00AB11A2">
            <w:pPr>
              <w:pStyle w:val="TableText"/>
              <w:ind w:left="113"/>
              <w:rPr>
                <w:sz w:val="20"/>
              </w:rPr>
            </w:pPr>
            <w:r w:rsidRPr="00AB3864">
              <w:rPr>
                <w:sz w:val="20"/>
              </w:rPr>
              <w:t>What is Aotearoa doing currently?</w:t>
            </w:r>
          </w:p>
          <w:p w14:paraId="716DF956" w14:textId="77777777" w:rsidR="000163A2" w:rsidRPr="00C000B2" w:rsidRDefault="000163A2" w:rsidP="000163A2">
            <w:pPr>
              <w:pStyle w:val="TableText"/>
              <w:ind w:left="113"/>
            </w:pPr>
            <w:r w:rsidRPr="00C000B2">
              <w:t>In Aotearoa, guidelines recommend that regular HIV testing (at least annually) should be considered for those at risk of HIV exposure, including sexual partners of people known to be HIV positive, MSM, any other person with a history of</w:t>
            </w:r>
            <w:r>
              <w:t xml:space="preserve"> </w:t>
            </w:r>
            <w:r w:rsidRPr="00C000B2">
              <w:t>sexual exposure that could result in HIV transmission, recent migrants from a high-risk country, and people with a history of injecting drug use. Testing is also offered to pregnant women.</w:t>
            </w:r>
            <w:r w:rsidRPr="000163A2">
              <w:rPr>
                <w:vertAlign w:val="superscript"/>
              </w:rPr>
              <w:t>488</w:t>
            </w:r>
          </w:p>
          <w:p w14:paraId="2303535A" w14:textId="77777777" w:rsidR="000163A2" w:rsidRPr="00C000B2" w:rsidRDefault="000163A2" w:rsidP="000163A2">
            <w:pPr>
              <w:pStyle w:val="TableText"/>
              <w:ind w:left="113"/>
            </w:pPr>
            <w:r w:rsidRPr="00C000B2">
              <w:t>The New Zealand AIDS Foundation offers various testing options to increase access including home testing kits (using oral swabs) and rapid finger prick testing at selected centres.</w:t>
            </w:r>
            <w:r w:rsidRPr="000163A2">
              <w:rPr>
                <w:vertAlign w:val="superscript"/>
              </w:rPr>
              <w:t>489</w:t>
            </w:r>
          </w:p>
          <w:p w14:paraId="51A167F4" w14:textId="77777777" w:rsidR="0029210A" w:rsidRDefault="000163A2" w:rsidP="000163A2">
            <w:pPr>
              <w:pStyle w:val="TableText"/>
              <w:ind w:left="113"/>
            </w:pPr>
            <w:r w:rsidRPr="00C000B2">
              <w:t xml:space="preserve">In Aotearoa, several classes of ART are </w:t>
            </w:r>
            <w:proofErr w:type="gramStart"/>
            <w:r w:rsidRPr="00C000B2">
              <w:t>available</w:t>
            </w:r>
            <w:proofErr w:type="gramEnd"/>
            <w:r w:rsidRPr="00C000B2">
              <w:t xml:space="preserve"> and treatment is subsidised for anyone diagnosed with HIV. It is estimated that 95 percent of people living with HIV were</w:t>
            </w:r>
            <w:r>
              <w:t xml:space="preserve"> </w:t>
            </w:r>
            <w:r w:rsidRPr="00C000B2">
              <w:t>on ART and 82 percent had a suppressed viral load between 2006 and 2017. However, this does not include those with HIV whose current treatment status is unknown and may bean overestimate.</w:t>
            </w:r>
            <w:r w:rsidRPr="000163A2">
              <w:rPr>
                <w:vertAlign w:val="superscript"/>
              </w:rPr>
              <w:t>490</w:t>
            </w:r>
          </w:p>
        </w:tc>
      </w:tr>
    </w:tbl>
    <w:p w14:paraId="6E4E21ED" w14:textId="77777777" w:rsidR="00EF27EC" w:rsidRDefault="00EF27EC" w:rsidP="000163A2"/>
    <w:p w14:paraId="46787CE1" w14:textId="77777777" w:rsidR="00EF27EC" w:rsidRPr="00C000B2" w:rsidRDefault="00EF27EC" w:rsidP="000163A2">
      <w:pPr>
        <w:keepNext/>
        <w:keepLines/>
      </w:pPr>
      <w:r w:rsidRPr="00C000B2">
        <w:lastRenderedPageBreak/>
        <w:t xml:space="preserve">Although Aotearoa does not yet have an overarching strategy for addressing chronic infections, several positive measures have been introduced to reduce the burden of </w:t>
      </w:r>
      <w:r w:rsidRPr="00C000B2">
        <w:rPr>
          <w:i/>
        </w:rPr>
        <w:t>H.</w:t>
      </w:r>
      <w:r w:rsidR="008A788A">
        <w:rPr>
          <w:i/>
        </w:rPr>
        <w:t> </w:t>
      </w:r>
      <w:r w:rsidRPr="00C000B2">
        <w:rPr>
          <w:i/>
        </w:rPr>
        <w:t>pylori</w:t>
      </w:r>
      <w:r w:rsidRPr="00C000B2">
        <w:t xml:space="preserve">, HPV, </w:t>
      </w:r>
      <w:r w:rsidR="009278A9">
        <w:t>hepatitis B</w:t>
      </w:r>
      <w:r w:rsidRPr="00C000B2">
        <w:t xml:space="preserve">, </w:t>
      </w:r>
      <w:r w:rsidR="009278A9">
        <w:t>hepatitis C</w:t>
      </w:r>
      <w:r w:rsidRPr="00C000B2">
        <w:t xml:space="preserve"> and HIV infections, including the recent </w:t>
      </w:r>
      <w:r w:rsidRPr="00C000B2">
        <w:rPr>
          <w:i/>
        </w:rPr>
        <w:t xml:space="preserve">National </w:t>
      </w:r>
      <w:r w:rsidR="009278A9">
        <w:rPr>
          <w:i/>
        </w:rPr>
        <w:t>Hepatitis C</w:t>
      </w:r>
      <w:r w:rsidRPr="00C000B2">
        <w:rPr>
          <w:i/>
        </w:rPr>
        <w:t xml:space="preserve"> Action Plan for Aotearoa New Zealand – </w:t>
      </w:r>
      <w:proofErr w:type="spellStart"/>
      <w:r w:rsidRPr="00C000B2">
        <w:rPr>
          <w:i/>
        </w:rPr>
        <w:t>Māhere</w:t>
      </w:r>
      <w:proofErr w:type="spellEnd"/>
      <w:r w:rsidRPr="00C000B2">
        <w:rPr>
          <w:i/>
        </w:rPr>
        <w:t xml:space="preserve"> Mahi </w:t>
      </w:r>
      <w:proofErr w:type="spellStart"/>
      <w:r w:rsidRPr="00C000B2">
        <w:rPr>
          <w:i/>
        </w:rPr>
        <w:t>mō</w:t>
      </w:r>
      <w:proofErr w:type="spellEnd"/>
      <w:r w:rsidRPr="00C000B2">
        <w:rPr>
          <w:i/>
        </w:rPr>
        <w:t xml:space="preserve"> </w:t>
      </w:r>
      <w:proofErr w:type="spellStart"/>
      <w:r w:rsidRPr="00C000B2">
        <w:rPr>
          <w:i/>
        </w:rPr>
        <w:t>te</w:t>
      </w:r>
      <w:proofErr w:type="spellEnd"/>
      <w:r w:rsidRPr="00C000B2">
        <w:rPr>
          <w:i/>
        </w:rPr>
        <w:t xml:space="preserve"> Ate </w:t>
      </w:r>
      <w:proofErr w:type="spellStart"/>
      <w:r w:rsidRPr="00C000B2">
        <w:rPr>
          <w:i/>
        </w:rPr>
        <w:t>Kakā</w:t>
      </w:r>
      <w:proofErr w:type="spellEnd"/>
      <w:r w:rsidRPr="00C000B2">
        <w:rPr>
          <w:i/>
        </w:rPr>
        <w:t xml:space="preserve"> C</w:t>
      </w:r>
      <w:r w:rsidR="008A788A">
        <w:rPr>
          <w:i/>
        </w:rPr>
        <w:br/>
      </w:r>
      <w:r w:rsidRPr="00C000B2">
        <w:rPr>
          <w:i/>
        </w:rPr>
        <w:t xml:space="preserve">2020–2030 </w:t>
      </w:r>
      <w:r w:rsidRPr="00C000B2">
        <w:t>and HPV vaccination and screening</w:t>
      </w:r>
      <w:r w:rsidRPr="00C000B2">
        <w:rPr>
          <w:i/>
        </w:rPr>
        <w:t>.</w:t>
      </w:r>
      <w:r w:rsidRPr="008A788A">
        <w:rPr>
          <w:vertAlign w:val="superscript"/>
        </w:rPr>
        <w:t>414</w:t>
      </w:r>
      <w:r w:rsidRPr="00C000B2">
        <w:t xml:space="preserve"> All</w:t>
      </w:r>
      <w:r w:rsidR="008A788A">
        <w:t xml:space="preserve"> </w:t>
      </w:r>
      <w:r w:rsidRPr="00C000B2">
        <w:t>work will need to be supported by surveillance and equity-focused monitoring of infection rates, as well as the evaluation of existing and future interventions.</w:t>
      </w:r>
    </w:p>
    <w:p w14:paraId="175BA047" w14:textId="77777777" w:rsidR="00EF27EC" w:rsidRPr="00C000B2" w:rsidRDefault="00EF27EC" w:rsidP="008A788A"/>
    <w:p w14:paraId="312083C8" w14:textId="77777777" w:rsidR="00EF27EC" w:rsidRPr="00C000B2" w:rsidRDefault="00EF27EC" w:rsidP="008A788A">
      <w:r w:rsidRPr="00C000B2">
        <w:t>Cancers caused by chronic infections bridge the false separation that is sometimes made between communicable diseases and non-communicable diseases. These cancers are characterised by stark inequities and yet have the potential to be reduced or eliminated,</w:t>
      </w:r>
      <w:r w:rsidRPr="008A788A">
        <w:rPr>
          <w:vertAlign w:val="superscript"/>
        </w:rPr>
        <w:t>420,</w:t>
      </w:r>
      <w:r w:rsidR="008A788A" w:rsidRPr="008A788A">
        <w:rPr>
          <w:vertAlign w:val="superscript"/>
        </w:rPr>
        <w:t> </w:t>
      </w:r>
      <w:r w:rsidRPr="008A788A">
        <w:rPr>
          <w:vertAlign w:val="superscript"/>
        </w:rPr>
        <w:t>422</w:t>
      </w:r>
      <w:r w:rsidRPr="00C000B2">
        <w:t xml:space="preserve"> </w:t>
      </w:r>
      <w:proofErr w:type="gramStart"/>
      <w:r w:rsidRPr="00C000B2">
        <w:t>as long as</w:t>
      </w:r>
      <w:proofErr w:type="gramEnd"/>
      <w:r w:rsidRPr="00C000B2">
        <w:t xml:space="preserve"> the interventions we put in place work disproportionately well for Māori, Pacific and other priority populations.</w:t>
      </w:r>
      <w:r w:rsidR="008A788A">
        <w:t xml:space="preserve"> </w:t>
      </w:r>
      <w:r w:rsidRPr="00C000B2">
        <w:t xml:space="preserve">Stigma and discrimination remain significant barriers to achieving progress in certain chronic infections, such as </w:t>
      </w:r>
      <w:r w:rsidR="009278A9">
        <w:t>hepatitis B</w:t>
      </w:r>
      <w:r w:rsidRPr="00C000B2">
        <w:t xml:space="preserve"> and C and HIV and need to be challenged.</w:t>
      </w:r>
    </w:p>
    <w:p w14:paraId="476C6E24" w14:textId="77777777" w:rsidR="00EF27EC" w:rsidRPr="00C000B2" w:rsidRDefault="00EF27EC" w:rsidP="008A788A"/>
    <w:p w14:paraId="25CA36CB" w14:textId="77777777" w:rsidR="00EF27EC" w:rsidRPr="000546DD" w:rsidRDefault="000546DD" w:rsidP="000546DD">
      <w:pPr>
        <w:pStyle w:val="Heading1"/>
      </w:pPr>
      <w:bookmarkStart w:id="229" w:name="He_kupu_whakakapi_Conclusion"/>
      <w:bookmarkStart w:id="230" w:name="_bookmark42"/>
      <w:bookmarkStart w:id="231" w:name="_Toc95742672"/>
      <w:bookmarkEnd w:id="229"/>
      <w:bookmarkEnd w:id="230"/>
      <w:r w:rsidRPr="00C000B2">
        <w:lastRenderedPageBreak/>
        <w:t>He Kupu Whakakapi</w:t>
      </w:r>
      <w:r>
        <w:br/>
      </w:r>
      <w:r w:rsidRPr="000546DD">
        <w:rPr>
          <w:color w:val="22B893"/>
        </w:rPr>
        <w:t>Conclusion</w:t>
      </w:r>
      <w:bookmarkEnd w:id="231"/>
    </w:p>
    <w:p w14:paraId="59A4C9CF" w14:textId="77777777" w:rsidR="00EF27EC" w:rsidRPr="00C000B2" w:rsidRDefault="00EF27EC" w:rsidP="00043D21">
      <w:r w:rsidRPr="00C000B2">
        <w:t>This report brings together a description of key cancer risk factors and the options available to reduce the adverse impacts of those risk factors in Aotearoa. The options described for</w:t>
      </w:r>
      <w:r w:rsidR="00043D21">
        <w:t xml:space="preserve"> </w:t>
      </w:r>
      <w:r w:rsidRPr="00C000B2">
        <w:t>strengthening cancer prevention are many and, at first glance, varied. There is much that can be done. However, many themes are common across cancer risk factors. In a nutshell, Aotearoa can prevent cancer by:</w:t>
      </w:r>
    </w:p>
    <w:p w14:paraId="21DEEFA7" w14:textId="77777777" w:rsidR="00EF27EC" w:rsidRPr="00C000B2" w:rsidRDefault="00EF27EC" w:rsidP="00043D21">
      <w:pPr>
        <w:pStyle w:val="Bullet"/>
      </w:pPr>
      <w:r w:rsidRPr="00C000B2">
        <w:t>reducing the availability and accessibility of harmful products that increase the risk of cancer, such as by reducing the number of outlets selling tobacco or alcohol, or introducing minimum unit prices for them</w:t>
      </w:r>
    </w:p>
    <w:p w14:paraId="009CB143" w14:textId="77777777" w:rsidR="00EF27EC" w:rsidRPr="00C000B2" w:rsidRDefault="00EF27EC" w:rsidP="00043D21">
      <w:pPr>
        <w:pStyle w:val="Bullet"/>
      </w:pPr>
      <w:r w:rsidRPr="00C000B2">
        <w:t>increasing the availability and accessibility of commodities that can reduce the risk of cancer, such as by providing adequate housing to reduce household crowding or subsidising fruit and vegetables</w:t>
      </w:r>
    </w:p>
    <w:p w14:paraId="164917C8" w14:textId="77777777" w:rsidR="00EF27EC" w:rsidRPr="00C000B2" w:rsidRDefault="00EF27EC" w:rsidP="00043D21">
      <w:pPr>
        <w:pStyle w:val="Bullet"/>
      </w:pPr>
      <w:r w:rsidRPr="00C000B2">
        <w:t xml:space="preserve">improving physical environments or settings such as by providing enough shade from the sun, improving public </w:t>
      </w:r>
      <w:proofErr w:type="gramStart"/>
      <w:r w:rsidRPr="00C000B2">
        <w:t>transport</w:t>
      </w:r>
      <w:proofErr w:type="gramEnd"/>
      <w:r w:rsidRPr="00C000B2">
        <w:t xml:space="preserve"> or restricting smoking in outdoor spaces</w:t>
      </w:r>
    </w:p>
    <w:p w14:paraId="0D220F3B" w14:textId="77777777" w:rsidR="00EF27EC" w:rsidRPr="00C000B2" w:rsidRDefault="00EF27EC" w:rsidP="00043D21">
      <w:pPr>
        <w:pStyle w:val="Bullet"/>
      </w:pPr>
      <w:r w:rsidRPr="00C000B2">
        <w:t>restricting the advertising or marketing of some products such as alcohol and unhealthy food and drinks</w:t>
      </w:r>
    </w:p>
    <w:p w14:paraId="6EAEF28E" w14:textId="77777777" w:rsidR="00EF27EC" w:rsidRPr="00043D21" w:rsidRDefault="00EF27EC" w:rsidP="00043D21">
      <w:pPr>
        <w:pStyle w:val="Bullet"/>
        <w:ind w:right="-142"/>
        <w:rPr>
          <w:spacing w:val="-2"/>
        </w:rPr>
      </w:pPr>
      <w:r w:rsidRPr="00043D21">
        <w:rPr>
          <w:spacing w:val="-2"/>
        </w:rPr>
        <w:t xml:space="preserve">regulating the contents of certain products such as the amount of nicotine in cigarettes, the quality of sunscreens or the amount of salt, </w:t>
      </w:r>
      <w:proofErr w:type="gramStart"/>
      <w:r w:rsidRPr="00043D21">
        <w:rPr>
          <w:spacing w:val="-2"/>
        </w:rPr>
        <w:t>sugar</w:t>
      </w:r>
      <w:proofErr w:type="gramEnd"/>
      <w:r w:rsidRPr="00043D21">
        <w:rPr>
          <w:spacing w:val="-2"/>
        </w:rPr>
        <w:t xml:space="preserve"> and fat in packaged foods</w:t>
      </w:r>
    </w:p>
    <w:p w14:paraId="489C28E9" w14:textId="77777777" w:rsidR="00EF27EC" w:rsidRPr="00C000B2" w:rsidRDefault="00EF27EC" w:rsidP="00043D21">
      <w:pPr>
        <w:pStyle w:val="Bullet"/>
      </w:pPr>
      <w:r w:rsidRPr="00C000B2">
        <w:t>improving health services for those particularly at risk such as by ensuring access to safe injecting for people who inject drugs, and effectively identifying and treating individuals with chronic infections.</w:t>
      </w:r>
    </w:p>
    <w:p w14:paraId="29DA437E" w14:textId="77777777" w:rsidR="00043D21" w:rsidRDefault="00043D21" w:rsidP="00043D21"/>
    <w:p w14:paraId="355C123D" w14:textId="77777777" w:rsidR="00EF27EC" w:rsidRPr="00C000B2" w:rsidRDefault="00EF27EC" w:rsidP="00043D21">
      <w:r w:rsidRPr="00C000B2">
        <w:t>Implementing the options in this report in a successful and sustainable way will depend on a range of enablers, which were beyond the scope of this report to discuss in detail but are nonetheless important. Such enablers include (but are not limited to) strong Māori leadership and governance, good data and monitoring, purposeful research and evaluation, effective cross-sector collaboration (particularly to address issues like housing and child poverty), support for communities to have more control over their environment, sufficient compliance and enforcement activities, and adequate resourcing for all these elements.</w:t>
      </w:r>
    </w:p>
    <w:p w14:paraId="2834835B" w14:textId="77777777" w:rsidR="00043D21" w:rsidRDefault="00043D21" w:rsidP="00043D21"/>
    <w:p w14:paraId="01A001B2" w14:textId="77777777" w:rsidR="00EF27EC" w:rsidRPr="00C000B2" w:rsidRDefault="00EF27EC" w:rsidP="00043D21">
      <w:r w:rsidRPr="00C000B2">
        <w:t>Many of the options for cancer prevention involve extending or strengthening existing initiatives, while a few are new. Because almost all options are about improving the environments that people live in, they are mostly within the sphere of influence of central government and local government. Many of the initiatives will be delivered in a range of settings (schools, workplaces, health services and communities) and by a range of skilled providers (Māori and Pacific providers, primary care, non-governmental organisations, public health units and district health boards). These settings and providers will require supportive central and local government policies to amplify and sustain their efforts. It is also important not to underestimate how much public support such policies have. For example, almost 80 percent of adult smokers and recent quitters supported a tobacco-free generation policy</w:t>
      </w:r>
      <w:r w:rsidRPr="00043D21">
        <w:rPr>
          <w:vertAlign w:val="superscript"/>
        </w:rPr>
        <w:t>85</w:t>
      </w:r>
      <w:r w:rsidRPr="00C000B2">
        <w:t xml:space="preserve"> and 80 percent of people in another survey supported increasing restrictions on alcohol advertising.</w:t>
      </w:r>
      <w:r w:rsidRPr="00043D21">
        <w:rPr>
          <w:vertAlign w:val="superscript"/>
        </w:rPr>
        <w:t>176</w:t>
      </w:r>
    </w:p>
    <w:p w14:paraId="726DAFA6" w14:textId="77777777" w:rsidR="00EF27EC" w:rsidRDefault="00EF27EC" w:rsidP="00043D21">
      <w:pPr>
        <w:spacing w:before="240"/>
      </w:pPr>
      <w:r w:rsidRPr="00C000B2">
        <w:lastRenderedPageBreak/>
        <w:t>This report focuses on changing environments rather than relying solely on changing individual behaviour-basically, what Aotearoa can do to make healthy choices easy choices. Tobacco control</w:t>
      </w:r>
      <w:r w:rsidR="00043D21">
        <w:t xml:space="preserve"> </w:t>
      </w:r>
      <w:bookmarkStart w:id="232" w:name="Figure_38:_Key_tobacco_control_initiativ"/>
      <w:bookmarkStart w:id="233" w:name="_bookmark43"/>
      <w:bookmarkEnd w:id="232"/>
      <w:bookmarkEnd w:id="233"/>
      <w:r w:rsidRPr="00C000B2">
        <w:t xml:space="preserve">still has some way to go towards achieving an equitably </w:t>
      </w:r>
      <w:proofErr w:type="spellStart"/>
      <w:r w:rsidRPr="00C000B2">
        <w:t>smokefree</w:t>
      </w:r>
      <w:proofErr w:type="spellEnd"/>
      <w:r w:rsidRPr="00C000B2">
        <w:t xml:space="preserve"> future for Aotearoa, but the gains made to date have been driven by a range of environment-focused initiatives such tobacco excise tax, legislated </w:t>
      </w:r>
      <w:proofErr w:type="spellStart"/>
      <w:r w:rsidRPr="00C000B2">
        <w:t>smokefree</w:t>
      </w:r>
      <w:proofErr w:type="spellEnd"/>
      <w:r w:rsidRPr="00C000B2">
        <w:t xml:space="preserve"> areas, prohibiting sales to those aged under 18 years, prohibiting advertising and promotion of tobacco products, and standardised packaging that includes graphic warnings on cigarette packs (</w:t>
      </w:r>
      <w:r w:rsidR="000163A2">
        <w:fldChar w:fldCharType="begin"/>
      </w:r>
      <w:r w:rsidR="000163A2">
        <w:instrText xml:space="preserve"> REF _Ref95033854 \h </w:instrText>
      </w:r>
      <w:r w:rsidR="000163A2">
        <w:fldChar w:fldCharType="separate"/>
      </w:r>
      <w:r w:rsidR="006E6019">
        <w:t>Figure </w:t>
      </w:r>
      <w:r w:rsidR="006E6019">
        <w:rPr>
          <w:noProof/>
        </w:rPr>
        <w:t>38</w:t>
      </w:r>
      <w:r w:rsidR="000163A2">
        <w:fldChar w:fldCharType="end"/>
      </w:r>
      <w:r w:rsidRPr="00C000B2">
        <w:t xml:space="preserve">). The </w:t>
      </w:r>
      <w:proofErr w:type="spellStart"/>
      <w:r w:rsidRPr="00C000B2">
        <w:rPr>
          <w:i/>
        </w:rPr>
        <w:t>Smokefree</w:t>
      </w:r>
      <w:proofErr w:type="spellEnd"/>
      <w:r w:rsidRPr="00C000B2">
        <w:rPr>
          <w:i/>
        </w:rPr>
        <w:t xml:space="preserve"> Aotearoa 2025 Action Plan </w:t>
      </w:r>
      <w:r w:rsidRPr="00C000B2">
        <w:t>includes further strong environment-focused initiatives to limit the accessibility and appeal of smoked tobacco products.</w:t>
      </w:r>
      <w:r w:rsidRPr="00043D21">
        <w:rPr>
          <w:vertAlign w:val="superscript"/>
        </w:rPr>
        <w:t>53</w:t>
      </w:r>
      <w:r w:rsidRPr="00C000B2">
        <w:t xml:space="preserve"> Tobacco control initiatives to date show what is possible in addressing other cancer risk factors. At the same time, existing inequities in smoking rates in Aotearoa underscore the importance of Māori governance and leadership, as well as the necessity of partnership in designing, </w:t>
      </w:r>
      <w:proofErr w:type="gramStart"/>
      <w:r w:rsidRPr="00C000B2">
        <w:t>delivering</w:t>
      </w:r>
      <w:proofErr w:type="gramEnd"/>
      <w:r w:rsidRPr="00C000B2">
        <w:t xml:space="preserve"> and monitoring cancer prevention initiatives.</w:t>
      </w:r>
    </w:p>
    <w:p w14:paraId="74F87707" w14:textId="77777777" w:rsidR="00043D21" w:rsidRPr="00C000B2" w:rsidRDefault="00043D21" w:rsidP="00043D21"/>
    <w:p w14:paraId="7AFB395B" w14:textId="77777777" w:rsidR="00EF27EC" w:rsidRPr="000163A2" w:rsidRDefault="000163A2" w:rsidP="000163A2">
      <w:pPr>
        <w:pStyle w:val="Figure"/>
      </w:pPr>
      <w:bookmarkStart w:id="234" w:name="_Ref95033854"/>
      <w:bookmarkStart w:id="235" w:name="_Toc95059159"/>
      <w:r>
        <w:t>Figure </w:t>
      </w:r>
      <w:r w:rsidR="00F50B6E">
        <w:fldChar w:fldCharType="begin"/>
      </w:r>
      <w:r w:rsidR="00F50B6E">
        <w:instrText xml:space="preserve"> SEQ Figure \* ARABIC </w:instrText>
      </w:r>
      <w:r w:rsidR="00F50B6E">
        <w:fldChar w:fldCharType="separate"/>
      </w:r>
      <w:r w:rsidR="006E6019">
        <w:rPr>
          <w:noProof/>
        </w:rPr>
        <w:t>38</w:t>
      </w:r>
      <w:r w:rsidR="00F50B6E">
        <w:rPr>
          <w:noProof/>
        </w:rPr>
        <w:fldChar w:fldCharType="end"/>
      </w:r>
      <w:bookmarkEnd w:id="234"/>
      <w:r w:rsidR="00EF27EC" w:rsidRPr="00C000B2">
        <w:t>: Key tobacco control initiatives, 1984–2020</w:t>
      </w:r>
      <w:r w:rsidR="00EF27EC" w:rsidRPr="000163A2">
        <w:rPr>
          <w:b w:val="0"/>
          <w:vertAlign w:val="superscript"/>
        </w:rPr>
        <w:t>491</w:t>
      </w:r>
      <w:bookmarkEnd w:id="235"/>
    </w:p>
    <w:p w14:paraId="12D454F8" w14:textId="77777777" w:rsidR="00EF27EC" w:rsidRPr="00C000B2" w:rsidRDefault="000163A2" w:rsidP="000163A2">
      <w:r>
        <w:rPr>
          <w:noProof/>
          <w:lang w:eastAsia="en-NZ"/>
        </w:rPr>
        <w:drawing>
          <wp:inline distT="0" distB="0" distL="0" distR="0" wp14:anchorId="56EE7ED3" wp14:editId="16844025">
            <wp:extent cx="5130165" cy="3107148"/>
            <wp:effectExtent l="0" t="0" r="0" b="0"/>
            <wp:docPr id="942" name="Picture 942" title="Figure 38: Key tobacco control initiatives, 198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130165" cy="3107148"/>
                    </a:xfrm>
                    <a:prstGeom prst="rect">
                      <a:avLst/>
                    </a:prstGeom>
                  </pic:spPr>
                </pic:pic>
              </a:graphicData>
            </a:graphic>
          </wp:inline>
        </w:drawing>
      </w:r>
    </w:p>
    <w:p w14:paraId="76CC59C6" w14:textId="77777777" w:rsidR="00043D21" w:rsidRDefault="00043D21" w:rsidP="000163A2"/>
    <w:p w14:paraId="189CFD2A" w14:textId="77777777" w:rsidR="00EF27EC" w:rsidRPr="00C000B2" w:rsidRDefault="00EF27EC" w:rsidP="000163A2">
      <w:r w:rsidRPr="00C000B2">
        <w:t>Other analogies are also close at hand. Our response to COVID-19, ahead of full vaccination rollout, relied on a range of population-based, environment-focused interventions such as border controls and the use of escalating alert levels. As a country, we have chosen not to pin our COVID-19 strategy exclusively on initiatives that require individual effort such as handwashing and mask-wearing, recognising that such actions are likely to be more successful if the right environmental controls are in place. This report advocates for a similar approach to cancer prevention.</w:t>
      </w:r>
    </w:p>
    <w:p w14:paraId="59A8EE07" w14:textId="77777777" w:rsidR="00043D21" w:rsidRDefault="00043D21" w:rsidP="000163A2"/>
    <w:p w14:paraId="40C05E1B" w14:textId="77777777" w:rsidR="00EF27EC" w:rsidRPr="00153598" w:rsidRDefault="00EF27EC" w:rsidP="00153598">
      <w:pPr>
        <w:ind w:right="-142"/>
        <w:rPr>
          <w:spacing w:val="-2"/>
        </w:rPr>
      </w:pPr>
      <w:r w:rsidRPr="00153598">
        <w:rPr>
          <w:spacing w:val="-2"/>
        </w:rPr>
        <w:t xml:space="preserve">So what is needed if we are to maximise cancer prevention in Aotearoa? We must be willing to play the long game-it takes time for the preventative actions we take today to result in fewer cancers. But the gains are big, the potential to reduce inequities is significant, and the end-results are sustainable. Preventing cancer requires a comprehensive mix of strategies at every level. We must be prepared to use tactics that we know work and to implement them equitably. This will require strong leadership especially when it comes to regulating powerful industries like tobacco, </w:t>
      </w:r>
      <w:proofErr w:type="gramStart"/>
      <w:r w:rsidRPr="00153598">
        <w:rPr>
          <w:spacing w:val="-2"/>
        </w:rPr>
        <w:t>alcohol</w:t>
      </w:r>
      <w:proofErr w:type="gramEnd"/>
      <w:r w:rsidRPr="00153598">
        <w:rPr>
          <w:spacing w:val="-2"/>
        </w:rPr>
        <w:t xml:space="preserve"> and junk food.</w:t>
      </w:r>
    </w:p>
    <w:p w14:paraId="2EE70A4D" w14:textId="77777777" w:rsidR="00043D21" w:rsidRDefault="00043D21" w:rsidP="000163A2"/>
    <w:p w14:paraId="7082F34D" w14:textId="77777777" w:rsidR="00EF27EC" w:rsidRPr="00C000B2" w:rsidRDefault="00EF27EC" w:rsidP="00043D21">
      <w:r w:rsidRPr="00C000B2">
        <w:lastRenderedPageBreak/>
        <w:t>To successfully prevent cancer – that is, to achieve fewer cancers and reduced inequities – we must be bold and persistent. Aotearoa can be a country where whānau live long lives free of preventable cancers.</w:t>
      </w:r>
    </w:p>
    <w:p w14:paraId="6ABCCE2D" w14:textId="77777777" w:rsidR="00EF27EC" w:rsidRPr="00C000B2" w:rsidRDefault="00EF27EC" w:rsidP="00043D21"/>
    <w:p w14:paraId="683E8244" w14:textId="77777777" w:rsidR="00EF27EC" w:rsidRPr="000546DD" w:rsidRDefault="000546DD" w:rsidP="000546DD">
      <w:pPr>
        <w:pStyle w:val="Heading1"/>
      </w:pPr>
      <w:bookmarkStart w:id="236" w:name="Ngā_Tohutoro_References"/>
      <w:bookmarkStart w:id="237" w:name="_bookmark44"/>
      <w:bookmarkStart w:id="238" w:name="_Toc95742673"/>
      <w:bookmarkEnd w:id="236"/>
      <w:bookmarkEnd w:id="237"/>
      <w:r w:rsidRPr="00C000B2">
        <w:lastRenderedPageBreak/>
        <w:t>Ngā Tohutoro</w:t>
      </w:r>
      <w:r>
        <w:br/>
      </w:r>
      <w:r w:rsidRPr="000546DD">
        <w:rPr>
          <w:color w:val="22B893"/>
        </w:rPr>
        <w:t>References</w:t>
      </w:r>
      <w:bookmarkEnd w:id="238"/>
    </w:p>
    <w:p w14:paraId="41185673" w14:textId="77777777" w:rsidR="00EF27EC" w:rsidRPr="00C000B2" w:rsidRDefault="00EF27EC" w:rsidP="00043D21">
      <w:pPr>
        <w:pStyle w:val="References"/>
      </w:pPr>
      <w:r w:rsidRPr="00C000B2">
        <w:t xml:space="preserve">WHO. 2020. </w:t>
      </w:r>
      <w:r w:rsidRPr="00C000B2">
        <w:rPr>
          <w:i/>
        </w:rPr>
        <w:t xml:space="preserve">WHO Report on Cancer: Setting priorities, investing </w:t>
      </w:r>
      <w:proofErr w:type="gramStart"/>
      <w:r w:rsidRPr="00C000B2">
        <w:rPr>
          <w:i/>
        </w:rPr>
        <w:t>wisely</w:t>
      </w:r>
      <w:proofErr w:type="gramEnd"/>
      <w:r w:rsidRPr="00C000B2">
        <w:rPr>
          <w:i/>
        </w:rPr>
        <w:t xml:space="preserve"> and providing care for all</w:t>
      </w:r>
      <w:r w:rsidRPr="00C000B2">
        <w:t xml:space="preserve">. Geneva: World Health Organization. URL: </w:t>
      </w:r>
      <w:hyperlink r:id="rId75" w:history="1">
        <w:r w:rsidR="00153598" w:rsidRPr="00153598">
          <w:rPr>
            <w:rStyle w:val="Hyperlink"/>
          </w:rPr>
          <w:t>https://apps.who.int/iris/handle/10665/330745</w:t>
        </w:r>
      </w:hyperlink>
      <w:r w:rsidRPr="00C000B2">
        <w:t xml:space="preserve"> (accessed 30 October 2021).</w:t>
      </w:r>
    </w:p>
    <w:p w14:paraId="5DB95B42" w14:textId="77777777" w:rsidR="00EF27EC" w:rsidRPr="00C000B2" w:rsidRDefault="00EF27EC" w:rsidP="00043D21">
      <w:pPr>
        <w:pStyle w:val="References"/>
      </w:pPr>
      <w:r w:rsidRPr="00C000B2">
        <w:t xml:space="preserve">Ministry of Health. 2020. </w:t>
      </w:r>
      <w:r w:rsidRPr="00C000B2">
        <w:rPr>
          <w:i/>
        </w:rPr>
        <w:t xml:space="preserve">New </w:t>
      </w:r>
      <w:r w:rsidR="00153598">
        <w:rPr>
          <w:i/>
        </w:rPr>
        <w:t>C</w:t>
      </w:r>
      <w:r w:rsidRPr="00C000B2">
        <w:rPr>
          <w:i/>
        </w:rPr>
        <w:t xml:space="preserve">ancer </w:t>
      </w:r>
      <w:r w:rsidR="00153598">
        <w:rPr>
          <w:i/>
        </w:rPr>
        <w:t>R</w:t>
      </w:r>
      <w:r w:rsidRPr="00C000B2">
        <w:rPr>
          <w:i/>
        </w:rPr>
        <w:t>egistrations 2018</w:t>
      </w:r>
      <w:r w:rsidRPr="00C000B2">
        <w:t xml:space="preserve">. URL: </w:t>
      </w:r>
      <w:hyperlink r:id="rId76" w:history="1">
        <w:r w:rsidR="00153598" w:rsidRPr="00153598">
          <w:rPr>
            <w:rStyle w:val="Hyperlink"/>
          </w:rPr>
          <w:t>https://www.health.govt.nz/publication/new- cancer-registrations-2018</w:t>
        </w:r>
      </w:hyperlink>
      <w:r w:rsidRPr="00C000B2">
        <w:t xml:space="preserve"> (accessed 29</w:t>
      </w:r>
      <w:r w:rsidR="00153598">
        <w:t> </w:t>
      </w:r>
      <w:r w:rsidRPr="00C000B2">
        <w:t>October 2021).</w:t>
      </w:r>
    </w:p>
    <w:p w14:paraId="2AEED8E1" w14:textId="77777777" w:rsidR="00EF27EC" w:rsidRPr="00C000B2" w:rsidRDefault="00EF27EC" w:rsidP="00043D21">
      <w:pPr>
        <w:pStyle w:val="References"/>
      </w:pPr>
      <w:r w:rsidRPr="00C000B2">
        <w:t>Gurney J, Stanley J, McLeod M, et al. 2020. Disparities in cancer-specific survival between Māori and</w:t>
      </w:r>
      <w:r w:rsidR="00153598">
        <w:t xml:space="preserve"> </w:t>
      </w:r>
      <w:r w:rsidRPr="00C000B2">
        <w:t xml:space="preserve">non-Māori New Zealanders, 2007–2016. </w:t>
      </w:r>
      <w:r w:rsidRPr="00153598">
        <w:rPr>
          <w:i/>
        </w:rPr>
        <w:t xml:space="preserve">JCO Global Oncology </w:t>
      </w:r>
      <w:r w:rsidRPr="00C000B2">
        <w:t>6:</w:t>
      </w:r>
      <w:r w:rsidR="00153598">
        <w:t> </w:t>
      </w:r>
      <w:r w:rsidRPr="00C000B2">
        <w:t>766–74. DOI: 10.1200/go.20.00028 (accessed 29 October 2021).</w:t>
      </w:r>
    </w:p>
    <w:p w14:paraId="28030AC7" w14:textId="77777777" w:rsidR="00EF27EC" w:rsidRPr="00C000B2" w:rsidRDefault="00EF27EC" w:rsidP="00043D21">
      <w:pPr>
        <w:pStyle w:val="References"/>
      </w:pPr>
      <w:r w:rsidRPr="00C000B2">
        <w:t xml:space="preserve">Teng AM, Atkinson J, Disney G, et al. 2016. Ethnic inequalities in cancer incidence and mortality: census-linked cohort studies with 87 million years of person-time follow-up. </w:t>
      </w:r>
      <w:r w:rsidRPr="00C000B2">
        <w:rPr>
          <w:i/>
        </w:rPr>
        <w:t xml:space="preserve">BMC Cancer </w:t>
      </w:r>
      <w:r w:rsidRPr="00C000B2">
        <w:t>16(1): 755. DOI: 10.1186%2Fs12885-016-2781-4 (accessed 30</w:t>
      </w:r>
      <w:r w:rsidR="00153598">
        <w:t> </w:t>
      </w:r>
      <w:r w:rsidRPr="00C000B2">
        <w:t>October 2021).</w:t>
      </w:r>
    </w:p>
    <w:p w14:paraId="17C1425F" w14:textId="77777777" w:rsidR="00EF27EC" w:rsidRPr="00C000B2" w:rsidRDefault="00EF27EC" w:rsidP="00043D21">
      <w:pPr>
        <w:pStyle w:val="References"/>
      </w:pPr>
      <w:r w:rsidRPr="00C000B2">
        <w:t xml:space="preserve">Tin </w:t>
      </w:r>
      <w:proofErr w:type="spellStart"/>
      <w:r w:rsidRPr="00C000B2">
        <w:t>Tin</w:t>
      </w:r>
      <w:proofErr w:type="spellEnd"/>
      <w:r w:rsidRPr="00C000B2">
        <w:t xml:space="preserve"> S, Elwood JM, Brown C, et al. 2018. Ethnic disparities in breast cancer survival in New Zealand: which factors contribute? </w:t>
      </w:r>
      <w:r w:rsidRPr="00C000B2">
        <w:rPr>
          <w:i/>
        </w:rPr>
        <w:t xml:space="preserve">BMC Cancer </w:t>
      </w:r>
      <w:r w:rsidRPr="00C000B2">
        <w:t>18(1): 58. DOI: 10.1186/s12885-017-3797-0 (accessed 30 October 2021).</w:t>
      </w:r>
    </w:p>
    <w:p w14:paraId="6C1BF453" w14:textId="77777777" w:rsidR="00EF27EC" w:rsidRPr="00C000B2" w:rsidRDefault="00EF27EC" w:rsidP="00043D21">
      <w:pPr>
        <w:pStyle w:val="References"/>
      </w:pPr>
      <w:r w:rsidRPr="00C000B2">
        <w:t xml:space="preserve">Sharples KJ, Firth MJ, Hinder VA, et al. 2018. The New Zealand PIPER Project: colorectal cancer survival according to rurality, </w:t>
      </w:r>
      <w:proofErr w:type="gramStart"/>
      <w:r w:rsidRPr="00C000B2">
        <w:t>ethnicity</w:t>
      </w:r>
      <w:proofErr w:type="gramEnd"/>
      <w:r w:rsidRPr="00C000B2">
        <w:t xml:space="preserve"> and socioeconomic deprivation-results from a retrospective cohort study. </w:t>
      </w:r>
      <w:r w:rsidRPr="00C000B2">
        <w:rPr>
          <w:i/>
        </w:rPr>
        <w:t>New Zealand Medical J</w:t>
      </w:r>
      <w:r w:rsidRPr="00C000B2">
        <w:t>ournal 131(1476): 24–39.</w:t>
      </w:r>
    </w:p>
    <w:p w14:paraId="07790EBD" w14:textId="77777777" w:rsidR="00EF27EC" w:rsidRPr="00C000B2" w:rsidRDefault="00EF27EC" w:rsidP="00043D21">
      <w:pPr>
        <w:pStyle w:val="References"/>
      </w:pPr>
      <w:r w:rsidRPr="00C000B2">
        <w:t xml:space="preserve">Ministry of Health. 2016. </w:t>
      </w:r>
      <w:r w:rsidRPr="00C000B2">
        <w:rPr>
          <w:i/>
        </w:rPr>
        <w:t>Cancer: New Registrations and Deaths 2013</w:t>
      </w:r>
      <w:r w:rsidRPr="00C000B2">
        <w:t>. Wellington: Ministry of Health.</w:t>
      </w:r>
    </w:p>
    <w:p w14:paraId="4A37226E" w14:textId="77777777" w:rsidR="00EF27EC" w:rsidRPr="00C000B2" w:rsidRDefault="00EF27EC" w:rsidP="00043D21">
      <w:pPr>
        <w:pStyle w:val="References"/>
      </w:pPr>
      <w:r w:rsidRPr="00C000B2">
        <w:t xml:space="preserve">Cunningham R, Sarfati D, Stanley J, et al. 2015. Cancer survival in the context of mental illness: a national cohort study. </w:t>
      </w:r>
      <w:r w:rsidRPr="00C000B2">
        <w:rPr>
          <w:i/>
        </w:rPr>
        <w:t xml:space="preserve">General Hospital Psychiatry </w:t>
      </w:r>
      <w:r w:rsidRPr="00C000B2">
        <w:t>37(6): 501–6. DOI: 10.1016/j.genhosppsych.2015.06.003 (accessed 29 October 2021).</w:t>
      </w:r>
    </w:p>
    <w:p w14:paraId="4030B186" w14:textId="77777777" w:rsidR="00EF27EC" w:rsidRPr="00C000B2" w:rsidRDefault="00EF27EC" w:rsidP="00043D21">
      <w:pPr>
        <w:pStyle w:val="References"/>
      </w:pPr>
      <w:r w:rsidRPr="00C000B2">
        <w:t xml:space="preserve">Davis LE, Bogner E, Coburn NG, et al. 2020. Stage at diagnosis and survival in patients with cancer and a pre-existing mental illness: a meta-analysis. </w:t>
      </w:r>
      <w:r w:rsidRPr="00C000B2">
        <w:rPr>
          <w:i/>
        </w:rPr>
        <w:t xml:space="preserve">Journal of Epidemiology and Community Health </w:t>
      </w:r>
      <w:r w:rsidRPr="00C000B2">
        <w:t>74(1): 84. DOI: 10.1136/jech-2019-212311 (accessed 29 October 2021).</w:t>
      </w:r>
    </w:p>
    <w:p w14:paraId="27173A2C" w14:textId="77777777" w:rsidR="00EF27EC" w:rsidRPr="00C000B2" w:rsidRDefault="00EF27EC" w:rsidP="00043D21">
      <w:pPr>
        <w:pStyle w:val="References"/>
      </w:pPr>
      <w:proofErr w:type="spellStart"/>
      <w:r w:rsidRPr="00C000B2">
        <w:t>Floud</w:t>
      </w:r>
      <w:proofErr w:type="spellEnd"/>
      <w:r w:rsidRPr="00C000B2">
        <w:t xml:space="preserve"> S, Barnes I, </w:t>
      </w:r>
      <w:proofErr w:type="spellStart"/>
      <w:r w:rsidRPr="00C000B2">
        <w:t>Verfürden</w:t>
      </w:r>
      <w:proofErr w:type="spellEnd"/>
      <w:r w:rsidRPr="00C000B2">
        <w:t xml:space="preserve"> M, et al. 2017. Disability and participation in breast and bowel cancer screening in England: a large prospective study. </w:t>
      </w:r>
      <w:r w:rsidRPr="00C000B2">
        <w:rPr>
          <w:i/>
        </w:rPr>
        <w:t xml:space="preserve">British Journal of Cancer </w:t>
      </w:r>
      <w:r w:rsidRPr="00C000B2">
        <w:t>117(11): 1711–4. DOI: 10.1038/ bjc.2017.331 (accessed 29 October 2021).</w:t>
      </w:r>
    </w:p>
    <w:p w14:paraId="411F7151" w14:textId="77777777" w:rsidR="00EF27EC" w:rsidRPr="00C000B2" w:rsidRDefault="00EF27EC" w:rsidP="00043D21">
      <w:pPr>
        <w:pStyle w:val="References"/>
      </w:pPr>
      <w:proofErr w:type="spellStart"/>
      <w:r w:rsidRPr="00C000B2">
        <w:t>Merten</w:t>
      </w:r>
      <w:proofErr w:type="spellEnd"/>
      <w:r w:rsidRPr="00C000B2">
        <w:t xml:space="preserve"> JW, Pomeranz JL, King JL, et al. 2015. Barriers to cancer screening for people with disabilities: a literature review. </w:t>
      </w:r>
      <w:r w:rsidRPr="00C000B2">
        <w:rPr>
          <w:i/>
        </w:rPr>
        <w:t xml:space="preserve">Disability and Health Journal </w:t>
      </w:r>
      <w:r w:rsidRPr="00C000B2">
        <w:t>8(1): 9–16. DOI: 10.1016/j.dhjo.2014.06.004 (accessed 29 October 2021).</w:t>
      </w:r>
    </w:p>
    <w:p w14:paraId="6E4B0744" w14:textId="77777777" w:rsidR="00EF27EC" w:rsidRPr="00C000B2" w:rsidRDefault="00EF27EC" w:rsidP="00153598">
      <w:pPr>
        <w:pStyle w:val="References"/>
        <w:keepNext/>
        <w:keepLines/>
      </w:pPr>
      <w:r w:rsidRPr="00C000B2">
        <w:lastRenderedPageBreak/>
        <w:t xml:space="preserve">Stats NZ. 2020. </w:t>
      </w:r>
      <w:r w:rsidRPr="00C000B2">
        <w:rPr>
          <w:i/>
        </w:rPr>
        <w:t xml:space="preserve">Measuring </w:t>
      </w:r>
      <w:r w:rsidR="00153598">
        <w:rPr>
          <w:i/>
        </w:rPr>
        <w:t>I</w:t>
      </w:r>
      <w:r w:rsidRPr="00C000B2">
        <w:rPr>
          <w:i/>
        </w:rPr>
        <w:t xml:space="preserve">nequality for </w:t>
      </w:r>
      <w:r w:rsidR="00153598">
        <w:rPr>
          <w:i/>
        </w:rPr>
        <w:t>D</w:t>
      </w:r>
      <w:r w:rsidRPr="00C000B2">
        <w:rPr>
          <w:i/>
        </w:rPr>
        <w:t>isabled New Zealanders: 2018</w:t>
      </w:r>
      <w:r w:rsidRPr="00C000B2">
        <w:t xml:space="preserve">. Stats NZ. URL: </w:t>
      </w:r>
      <w:hyperlink r:id="rId77" w:history="1">
        <w:r w:rsidR="00153598" w:rsidRPr="00153598">
          <w:rPr>
            <w:rStyle w:val="Hyperlink"/>
          </w:rPr>
          <w:t>https://www.stats.govt.nz/reports/measuring-inequality-for-disabled-new-zealanders-2018</w:t>
        </w:r>
      </w:hyperlink>
      <w:r w:rsidRPr="00C000B2">
        <w:t xml:space="preserve"> (accessed 30 October 2021).</w:t>
      </w:r>
    </w:p>
    <w:p w14:paraId="4F62A98C" w14:textId="77777777" w:rsidR="00EF27EC" w:rsidRPr="00C000B2" w:rsidRDefault="00EF27EC" w:rsidP="00043D21">
      <w:pPr>
        <w:pStyle w:val="References"/>
      </w:pPr>
      <w:r w:rsidRPr="00C000B2">
        <w:t xml:space="preserve">Gonzales G, </w:t>
      </w:r>
      <w:proofErr w:type="spellStart"/>
      <w:r w:rsidRPr="00C000B2">
        <w:t>Przedworski</w:t>
      </w:r>
      <w:proofErr w:type="spellEnd"/>
      <w:r w:rsidRPr="00C000B2">
        <w:t xml:space="preserve"> J, Henning-Smith C. 2016. Comparison of health and health risk factors between lesbian, gay, and bisexual </w:t>
      </w:r>
      <w:proofErr w:type="gramStart"/>
      <w:r w:rsidRPr="00C000B2">
        <w:t>adults</w:t>
      </w:r>
      <w:proofErr w:type="gramEnd"/>
      <w:r w:rsidRPr="00C000B2">
        <w:t xml:space="preserve"> and heterosexual adults in the United States: results from the National Health Interview Survey. </w:t>
      </w:r>
      <w:r w:rsidRPr="00C000B2">
        <w:rPr>
          <w:i/>
        </w:rPr>
        <w:t>JAMA Internal Med</w:t>
      </w:r>
      <w:r w:rsidRPr="00C000B2">
        <w:t>icine 176(9): 1344–51. DOI: 10.1001/jamainternmed.2016.3432 (accessed 29 October 2021).</w:t>
      </w:r>
    </w:p>
    <w:p w14:paraId="170F44CA" w14:textId="77777777" w:rsidR="00EF27EC" w:rsidRPr="00C000B2" w:rsidRDefault="00EF27EC" w:rsidP="00043D21">
      <w:pPr>
        <w:pStyle w:val="References"/>
      </w:pPr>
      <w:r w:rsidRPr="00C000B2">
        <w:t xml:space="preserve">National Cancer Institute. 2017. </w:t>
      </w:r>
      <w:r w:rsidRPr="00153598">
        <w:rPr>
          <w:i/>
        </w:rPr>
        <w:t xml:space="preserve">HIV </w:t>
      </w:r>
      <w:r w:rsidR="00153598">
        <w:rPr>
          <w:i/>
        </w:rPr>
        <w:t>I</w:t>
      </w:r>
      <w:r w:rsidRPr="00153598">
        <w:rPr>
          <w:i/>
        </w:rPr>
        <w:t xml:space="preserve">nfection and </w:t>
      </w:r>
      <w:r w:rsidR="00153598">
        <w:rPr>
          <w:i/>
        </w:rPr>
        <w:t>C</w:t>
      </w:r>
      <w:r w:rsidRPr="00153598">
        <w:rPr>
          <w:i/>
        </w:rPr>
        <w:t xml:space="preserve">ancer </w:t>
      </w:r>
      <w:r w:rsidR="00153598">
        <w:rPr>
          <w:i/>
        </w:rPr>
        <w:t>R</w:t>
      </w:r>
      <w:r w:rsidRPr="00153598">
        <w:rPr>
          <w:i/>
        </w:rPr>
        <w:t>isk</w:t>
      </w:r>
      <w:r w:rsidRPr="00C000B2">
        <w:t xml:space="preserve">. URL: </w:t>
      </w:r>
      <w:hyperlink r:id="rId78" w:history="1">
        <w:r w:rsidR="00153598" w:rsidRPr="00153598">
          <w:rPr>
            <w:rStyle w:val="Hyperlink"/>
          </w:rPr>
          <w:t>https://www.cancer.gov/about-cancer/ causes-prevention/risk/infectious-agents/</w:t>
        </w:r>
        <w:proofErr w:type="spellStart"/>
        <w:r w:rsidR="00153598" w:rsidRPr="00153598">
          <w:rPr>
            <w:rStyle w:val="Hyperlink"/>
          </w:rPr>
          <w:t>hiv</w:t>
        </w:r>
        <w:proofErr w:type="spellEnd"/>
        <w:r w:rsidR="00153598" w:rsidRPr="00153598">
          <w:rPr>
            <w:rStyle w:val="Hyperlink"/>
          </w:rPr>
          <w:t>-fact-sheet</w:t>
        </w:r>
      </w:hyperlink>
      <w:r w:rsidRPr="00C000B2">
        <w:t xml:space="preserve"> (accessed 30 October 2021).</w:t>
      </w:r>
    </w:p>
    <w:p w14:paraId="3FCEC68F" w14:textId="77777777" w:rsidR="00EF27EC" w:rsidRPr="00C000B2" w:rsidRDefault="00EF27EC" w:rsidP="00043D21">
      <w:pPr>
        <w:pStyle w:val="References"/>
      </w:pPr>
      <w:r w:rsidRPr="00C000B2">
        <w:t xml:space="preserve">Robson B, Purdie G, Cormack D. 2010. </w:t>
      </w:r>
      <w:r w:rsidRPr="00C000B2">
        <w:rPr>
          <w:i/>
        </w:rPr>
        <w:t>Unequal Impact II: Māori and Non-Māori cancer statistics by deprivation and rural-urban status, 2002–2006</w:t>
      </w:r>
      <w:r w:rsidRPr="00C000B2">
        <w:t xml:space="preserve">. Wellington: Ministry of Health. URL: </w:t>
      </w:r>
      <w:hyperlink r:id="rId79" w:history="1">
        <w:r w:rsidR="00153598" w:rsidRPr="00153598">
          <w:rPr>
            <w:rStyle w:val="Hyperlink"/>
          </w:rPr>
          <w:t>https://www.health.govt.nz/publication/unequal-impact-ii-maori-and-non-maori-cancer-statistics-deprivation-and-rural- urban-status-2002-2006</w:t>
        </w:r>
      </w:hyperlink>
      <w:r w:rsidRPr="00C000B2">
        <w:t xml:space="preserve"> (accessed 23 October 2021).</w:t>
      </w:r>
    </w:p>
    <w:p w14:paraId="7AA4393B" w14:textId="77777777" w:rsidR="00EF27EC" w:rsidRPr="00C000B2" w:rsidRDefault="00EF27EC" w:rsidP="00043D21">
      <w:pPr>
        <w:pStyle w:val="References"/>
      </w:pPr>
      <w:proofErr w:type="spellStart"/>
      <w:r w:rsidRPr="00C000B2">
        <w:t>Vaccarella</w:t>
      </w:r>
      <w:proofErr w:type="spellEnd"/>
      <w:r w:rsidRPr="00C000B2">
        <w:t xml:space="preserve"> S, </w:t>
      </w:r>
      <w:proofErr w:type="spellStart"/>
      <w:r w:rsidRPr="00C000B2">
        <w:t>Lortet-Tieulent</w:t>
      </w:r>
      <w:proofErr w:type="spellEnd"/>
      <w:r w:rsidRPr="00C000B2">
        <w:t xml:space="preserve"> J, </w:t>
      </w:r>
      <w:proofErr w:type="spellStart"/>
      <w:r w:rsidRPr="00C000B2">
        <w:t>Saracci</w:t>
      </w:r>
      <w:proofErr w:type="spellEnd"/>
      <w:r w:rsidRPr="00C000B2">
        <w:t xml:space="preserve"> R, et al (eds). 2019. </w:t>
      </w:r>
      <w:r w:rsidR="00153598">
        <w:rPr>
          <w:i/>
        </w:rPr>
        <w:t>Reducing S</w:t>
      </w:r>
      <w:r w:rsidRPr="00C000B2">
        <w:rPr>
          <w:i/>
        </w:rPr>
        <w:t xml:space="preserve">ocial </w:t>
      </w:r>
      <w:r w:rsidR="00153598">
        <w:rPr>
          <w:i/>
        </w:rPr>
        <w:t>I</w:t>
      </w:r>
      <w:r w:rsidRPr="00C000B2">
        <w:rPr>
          <w:i/>
        </w:rPr>
        <w:t xml:space="preserve">nequalities in </w:t>
      </w:r>
      <w:r w:rsidR="00153598">
        <w:rPr>
          <w:i/>
        </w:rPr>
        <w:t>C</w:t>
      </w:r>
      <w:r w:rsidRPr="00C000B2">
        <w:rPr>
          <w:i/>
        </w:rPr>
        <w:t xml:space="preserve">ancer: </w:t>
      </w:r>
      <w:r w:rsidR="00153598">
        <w:rPr>
          <w:i/>
        </w:rPr>
        <w:t>E</w:t>
      </w:r>
      <w:r w:rsidRPr="00C000B2">
        <w:rPr>
          <w:i/>
        </w:rPr>
        <w:t>vidence and priorities for research</w:t>
      </w:r>
      <w:r w:rsidRPr="00C000B2">
        <w:t xml:space="preserve">. Lyon: International Agency for Research on Cancer, WHO. </w:t>
      </w:r>
      <w:r w:rsidR="00153598">
        <w:t xml:space="preserve">URL: </w:t>
      </w:r>
      <w:hyperlink r:id="rId80" w:history="1">
        <w:r w:rsidR="00153598" w:rsidRPr="00153598">
          <w:rPr>
            <w:rStyle w:val="Hyperlink"/>
          </w:rPr>
          <w:t>https://publications.iarc.fr/Book-And-Report-Series/Iarc-Scientific-Publications/Reducing-Social-Inequalities-In- Cancer-Evidence-And-Priorities-For-Research-2019</w:t>
        </w:r>
      </w:hyperlink>
      <w:r w:rsidRPr="00C000B2">
        <w:t xml:space="preserve"> (accessed 23 September 2020).</w:t>
      </w:r>
    </w:p>
    <w:p w14:paraId="0934921C" w14:textId="77777777" w:rsidR="00EF27EC" w:rsidRPr="00C000B2" w:rsidRDefault="00EF27EC" w:rsidP="00043D21">
      <w:pPr>
        <w:pStyle w:val="References"/>
      </w:pPr>
      <w:r w:rsidRPr="00C000B2">
        <w:t xml:space="preserve">Ministry of Health. 2019. </w:t>
      </w:r>
      <w:r w:rsidRPr="00C000B2">
        <w:rPr>
          <w:i/>
        </w:rPr>
        <w:t xml:space="preserve">New Zealand Cancer Action Plan 2019–2029 – Te </w:t>
      </w:r>
      <w:proofErr w:type="spellStart"/>
      <w:r w:rsidRPr="00C000B2">
        <w:rPr>
          <w:i/>
        </w:rPr>
        <w:t>Mahere</w:t>
      </w:r>
      <w:proofErr w:type="spellEnd"/>
      <w:r w:rsidRPr="00C000B2">
        <w:rPr>
          <w:i/>
        </w:rPr>
        <w:t xml:space="preserve"> </w:t>
      </w:r>
      <w:proofErr w:type="spellStart"/>
      <w:r w:rsidRPr="00C000B2">
        <w:rPr>
          <w:i/>
        </w:rPr>
        <w:t>mō</w:t>
      </w:r>
      <w:proofErr w:type="spellEnd"/>
      <w:r w:rsidRPr="00C000B2">
        <w:rPr>
          <w:i/>
        </w:rPr>
        <w:t xml:space="preserve"> </w:t>
      </w:r>
      <w:proofErr w:type="spellStart"/>
      <w:r w:rsidRPr="00C000B2">
        <w:rPr>
          <w:i/>
        </w:rPr>
        <w:t>te</w:t>
      </w:r>
      <w:proofErr w:type="spellEnd"/>
      <w:r w:rsidRPr="00C000B2">
        <w:rPr>
          <w:i/>
        </w:rPr>
        <w:t xml:space="preserve"> Mate </w:t>
      </w:r>
      <w:proofErr w:type="spellStart"/>
      <w:r w:rsidRPr="00C000B2">
        <w:rPr>
          <w:i/>
        </w:rPr>
        <w:t>Pukupuku</w:t>
      </w:r>
      <w:proofErr w:type="spellEnd"/>
      <w:r w:rsidRPr="00C000B2">
        <w:rPr>
          <w:i/>
        </w:rPr>
        <w:t xml:space="preserve"> o Aotearoa 2019–2029</w:t>
      </w:r>
      <w:r w:rsidRPr="00C000B2">
        <w:t>. Wellington: Ministry of Health.</w:t>
      </w:r>
    </w:p>
    <w:p w14:paraId="40D5F172" w14:textId="77777777" w:rsidR="00EF27EC" w:rsidRPr="00C000B2" w:rsidRDefault="00EF27EC" w:rsidP="00043D21">
      <w:pPr>
        <w:pStyle w:val="References"/>
      </w:pPr>
      <w:r w:rsidRPr="00C000B2">
        <w:t xml:space="preserve">Ministry of Health. 2020. </w:t>
      </w:r>
      <w:proofErr w:type="spellStart"/>
      <w:r w:rsidRPr="00C000B2">
        <w:rPr>
          <w:i/>
        </w:rPr>
        <w:t>Whakamaua</w:t>
      </w:r>
      <w:proofErr w:type="spellEnd"/>
      <w:r w:rsidRPr="00C000B2">
        <w:rPr>
          <w:i/>
        </w:rPr>
        <w:t>: Māori Health Action Plan 2020–2025</w:t>
      </w:r>
      <w:r w:rsidRPr="00C000B2">
        <w:t>. Wellington: Ministry of Health.</w:t>
      </w:r>
    </w:p>
    <w:p w14:paraId="6A9C81DF" w14:textId="77777777" w:rsidR="00EF27EC" w:rsidRPr="00C000B2" w:rsidRDefault="00EF27EC" w:rsidP="00043D21">
      <w:pPr>
        <w:pStyle w:val="References"/>
      </w:pPr>
      <w:r w:rsidRPr="00C000B2">
        <w:t xml:space="preserve">Ministry of Health. 2020. </w:t>
      </w:r>
      <w:r w:rsidRPr="00C000B2">
        <w:rPr>
          <w:i/>
        </w:rPr>
        <w:t xml:space="preserve">Ola </w:t>
      </w:r>
      <w:proofErr w:type="spellStart"/>
      <w:r w:rsidRPr="00C000B2">
        <w:rPr>
          <w:i/>
        </w:rPr>
        <w:t>Manuia</w:t>
      </w:r>
      <w:proofErr w:type="spellEnd"/>
      <w:r w:rsidRPr="00C000B2">
        <w:rPr>
          <w:i/>
        </w:rPr>
        <w:t>: Pacific Health and Wellbeing Action Plan 2020–2025</w:t>
      </w:r>
      <w:r w:rsidRPr="00C000B2">
        <w:t>. Wellington: Ministry of Health.</w:t>
      </w:r>
    </w:p>
    <w:p w14:paraId="112F3197" w14:textId="77777777" w:rsidR="00EF27EC" w:rsidRPr="00C000B2" w:rsidRDefault="00EF27EC" w:rsidP="00043D21">
      <w:pPr>
        <w:pStyle w:val="References"/>
      </w:pPr>
      <w:r w:rsidRPr="00C000B2">
        <w:t xml:space="preserve">IHME. 2019. </w:t>
      </w:r>
      <w:r w:rsidRPr="00C000B2">
        <w:rPr>
          <w:i/>
        </w:rPr>
        <w:t>GBD Results Tool –</w:t>
      </w:r>
      <w:r w:rsidR="00153598">
        <w:rPr>
          <w:i/>
        </w:rPr>
        <w:t xml:space="preserve"> </w:t>
      </w:r>
      <w:r w:rsidRPr="00C000B2">
        <w:rPr>
          <w:i/>
        </w:rPr>
        <w:t>For all ages and sexes; risk factor mortality for all cancer (neoplasms), New Zealand</w:t>
      </w:r>
      <w:r w:rsidRPr="00C000B2">
        <w:t xml:space="preserve">. Institute for Health Metrics and Evaluation. URL: </w:t>
      </w:r>
      <w:hyperlink r:id="rId81" w:history="1">
        <w:r w:rsidR="00153598" w:rsidRPr="00153598">
          <w:rPr>
            <w:rStyle w:val="Hyperlink"/>
          </w:rPr>
          <w:t>http://ghdx.healthdata.org/gbd-results- tool?params=gbd-api-2019-permalink/2bf916c6c5fc6390404cc2bedf64add9</w:t>
        </w:r>
      </w:hyperlink>
      <w:r w:rsidRPr="00C000B2">
        <w:t xml:space="preserve"> (accessed 24 October 2021).</w:t>
      </w:r>
    </w:p>
    <w:p w14:paraId="5A8E1EB5" w14:textId="77777777" w:rsidR="00EF27EC" w:rsidRPr="00C000B2" w:rsidRDefault="00EF27EC" w:rsidP="00043D21">
      <w:pPr>
        <w:pStyle w:val="References"/>
      </w:pPr>
      <w:r w:rsidRPr="00C000B2">
        <w:t xml:space="preserve">Ministry of Health. 2020. </w:t>
      </w:r>
      <w:r w:rsidRPr="00C000B2">
        <w:rPr>
          <w:i/>
        </w:rPr>
        <w:t>Longer, Healthier Lives: New Zealand’s Health 1990–2017</w:t>
      </w:r>
      <w:r w:rsidRPr="00C000B2">
        <w:t xml:space="preserve">. Wellington: Ministry of Health. URL: </w:t>
      </w:r>
      <w:hyperlink r:id="rId82" w:history="1">
        <w:r w:rsidR="00153598" w:rsidRPr="00153598">
          <w:rPr>
            <w:rStyle w:val="Hyperlink"/>
          </w:rPr>
          <w:t>https://www.health.govt.nz/system/files/documents/publications/longer-healthier-lives-new-zealands-health-1990-2017.pdf</w:t>
        </w:r>
      </w:hyperlink>
      <w:r w:rsidRPr="00C000B2">
        <w:t xml:space="preserve"> (accessed 29 October 2021).</w:t>
      </w:r>
    </w:p>
    <w:p w14:paraId="193CF014" w14:textId="77777777" w:rsidR="00EF27EC" w:rsidRPr="00C000B2" w:rsidRDefault="00EF27EC" w:rsidP="00043D21">
      <w:pPr>
        <w:pStyle w:val="References"/>
      </w:pPr>
      <w:r w:rsidRPr="00C000B2">
        <w:t xml:space="preserve">Walsh M, Grey C. 2019. The contribution of avoidable mortality to the life expectancy gap in Māori and Pacific populations in New Zealand-a decomposition analysis. </w:t>
      </w:r>
      <w:r w:rsidRPr="00C000B2">
        <w:rPr>
          <w:i/>
        </w:rPr>
        <w:t xml:space="preserve">New Zealand Medical Journal </w:t>
      </w:r>
      <w:r w:rsidRPr="00C000B2">
        <w:t>132(1492): 46–60.</w:t>
      </w:r>
    </w:p>
    <w:p w14:paraId="51D2FF70" w14:textId="77777777" w:rsidR="00EF27EC" w:rsidRPr="00C000B2" w:rsidRDefault="00EF27EC" w:rsidP="00043D21">
      <w:pPr>
        <w:pStyle w:val="References"/>
      </w:pPr>
      <w:r w:rsidRPr="00C000B2">
        <w:t xml:space="preserve">Health and Disability System Review. 2019. </w:t>
      </w:r>
      <w:r w:rsidRPr="00C000B2">
        <w:rPr>
          <w:i/>
        </w:rPr>
        <w:t xml:space="preserve">Health and Disability System Review: Interim Report. Hauora Manaaki </w:t>
      </w:r>
      <w:proofErr w:type="spellStart"/>
      <w:r w:rsidRPr="00C000B2">
        <w:rPr>
          <w:i/>
        </w:rPr>
        <w:t>ki</w:t>
      </w:r>
      <w:proofErr w:type="spellEnd"/>
      <w:r w:rsidRPr="00C000B2">
        <w:rPr>
          <w:i/>
        </w:rPr>
        <w:t xml:space="preserve"> Aotearoa </w:t>
      </w:r>
      <w:proofErr w:type="spellStart"/>
      <w:r w:rsidRPr="00C000B2">
        <w:rPr>
          <w:i/>
        </w:rPr>
        <w:t>Whānui</w:t>
      </w:r>
      <w:proofErr w:type="spellEnd"/>
      <w:r w:rsidRPr="00C000B2">
        <w:rPr>
          <w:i/>
        </w:rPr>
        <w:t xml:space="preserve">: </w:t>
      </w:r>
      <w:proofErr w:type="spellStart"/>
      <w:r w:rsidRPr="00C000B2">
        <w:rPr>
          <w:i/>
        </w:rPr>
        <w:t>Pūrongo</w:t>
      </w:r>
      <w:proofErr w:type="spellEnd"/>
      <w:r w:rsidRPr="00C000B2">
        <w:rPr>
          <w:i/>
        </w:rPr>
        <w:t xml:space="preserve"> </w:t>
      </w:r>
      <w:proofErr w:type="spellStart"/>
      <w:r w:rsidRPr="00C000B2">
        <w:rPr>
          <w:i/>
        </w:rPr>
        <w:t>mō</w:t>
      </w:r>
      <w:proofErr w:type="spellEnd"/>
      <w:r w:rsidRPr="00C000B2">
        <w:rPr>
          <w:i/>
        </w:rPr>
        <w:t xml:space="preserve"> </w:t>
      </w:r>
      <w:proofErr w:type="spellStart"/>
      <w:r w:rsidRPr="00C000B2">
        <w:rPr>
          <w:i/>
        </w:rPr>
        <w:t>Tēnei</w:t>
      </w:r>
      <w:proofErr w:type="spellEnd"/>
      <w:r w:rsidRPr="00C000B2">
        <w:rPr>
          <w:i/>
        </w:rPr>
        <w:t xml:space="preserve"> </w:t>
      </w:r>
      <w:proofErr w:type="spellStart"/>
      <w:r w:rsidRPr="00C000B2">
        <w:rPr>
          <w:i/>
        </w:rPr>
        <w:t>Wā</w:t>
      </w:r>
      <w:proofErr w:type="spellEnd"/>
      <w:r w:rsidRPr="00C000B2">
        <w:t xml:space="preserve">. URL: </w:t>
      </w:r>
      <w:hyperlink r:id="rId83" w:history="1">
        <w:r w:rsidR="00153598" w:rsidRPr="00153598">
          <w:rPr>
            <w:rStyle w:val="Hyperlink"/>
          </w:rPr>
          <w:t>https://www.systemreview.health.govt.nz/ interim-report</w:t>
        </w:r>
      </w:hyperlink>
      <w:r w:rsidRPr="00C000B2">
        <w:t xml:space="preserve"> (accessed 24 October 2021).</w:t>
      </w:r>
    </w:p>
    <w:p w14:paraId="269E532A" w14:textId="77777777" w:rsidR="00EF27EC" w:rsidRPr="00C000B2" w:rsidRDefault="00EF27EC" w:rsidP="00153598">
      <w:pPr>
        <w:pStyle w:val="References"/>
        <w:keepNext/>
        <w:keepLines/>
      </w:pPr>
      <w:r w:rsidRPr="00C000B2">
        <w:lastRenderedPageBreak/>
        <w:t>Hill S, Sarfati D, Blakely T, et al.</w:t>
      </w:r>
      <w:r w:rsidR="00153598">
        <w:t xml:space="preserve"> 2010. Survival disparities in i</w:t>
      </w:r>
      <w:r w:rsidRPr="00C000B2">
        <w:t>ndigenous and non-</w:t>
      </w:r>
      <w:r w:rsidR="00153598">
        <w:t>i</w:t>
      </w:r>
      <w:r w:rsidRPr="00C000B2">
        <w:t xml:space="preserve">ndigenous New Zealanders with colon cancer: the role of patient comorbidity, </w:t>
      </w:r>
      <w:proofErr w:type="gramStart"/>
      <w:r w:rsidRPr="00C000B2">
        <w:t>treatment</w:t>
      </w:r>
      <w:proofErr w:type="gramEnd"/>
      <w:r w:rsidRPr="00C000B2">
        <w:t xml:space="preserve"> and health service factors. </w:t>
      </w:r>
      <w:r w:rsidRPr="00C000B2">
        <w:rPr>
          <w:i/>
        </w:rPr>
        <w:t xml:space="preserve">Journal of Epidemiology and Community Health </w:t>
      </w:r>
      <w:r w:rsidRPr="00C000B2">
        <w:t>64(2): 117–23. DOI: 10.1136/jech.2008.083816 (accessed 29 October 2021).</w:t>
      </w:r>
    </w:p>
    <w:p w14:paraId="22E9462E" w14:textId="77777777" w:rsidR="00EF27EC" w:rsidRPr="00C000B2" w:rsidRDefault="00EF27EC" w:rsidP="00043D21">
      <w:pPr>
        <w:pStyle w:val="References"/>
      </w:pPr>
      <w:r w:rsidRPr="00C000B2">
        <w:t xml:space="preserve">Sarfati D, Robson B, Garvey G, et al. 2020. Cancer in indigenous populations: focusing on inequalities that are sometimes invisible. In EWC Wild, B Stewart (eds), </w:t>
      </w:r>
      <w:r w:rsidRPr="00C000B2">
        <w:rPr>
          <w:i/>
        </w:rPr>
        <w:t>World Cancer Report: Cancer research for cancer prevention</w:t>
      </w:r>
      <w:r w:rsidRPr="00C000B2">
        <w:t>. International Agency for Research on Cancer.</w:t>
      </w:r>
    </w:p>
    <w:p w14:paraId="6A3616F8" w14:textId="77777777" w:rsidR="00EF27EC" w:rsidRPr="00C000B2" w:rsidRDefault="00EF27EC" w:rsidP="00043D21">
      <w:pPr>
        <w:pStyle w:val="References"/>
      </w:pPr>
      <w:r w:rsidRPr="00C000B2">
        <w:t xml:space="preserve">Health Quality &amp; Safety Commission. 2021. </w:t>
      </w:r>
      <w:r w:rsidRPr="00C000B2">
        <w:rPr>
          <w:i/>
        </w:rPr>
        <w:t xml:space="preserve">Bula </w:t>
      </w:r>
      <w:proofErr w:type="spellStart"/>
      <w:r w:rsidRPr="00C000B2">
        <w:rPr>
          <w:i/>
        </w:rPr>
        <w:t>Sautu</w:t>
      </w:r>
      <w:proofErr w:type="spellEnd"/>
      <w:r w:rsidRPr="00C000B2">
        <w:rPr>
          <w:i/>
        </w:rPr>
        <w:t xml:space="preserve"> – A Window on Quality 2021: Pacific health in the year of COVID-19</w:t>
      </w:r>
      <w:r w:rsidRPr="00C000B2">
        <w:t>. Wellington: Health Quality &amp; Safety Commission.</w:t>
      </w:r>
    </w:p>
    <w:p w14:paraId="381C1424" w14:textId="77777777" w:rsidR="00EF27EC" w:rsidRPr="00C000B2" w:rsidRDefault="00EF27EC" w:rsidP="00043D21">
      <w:pPr>
        <w:pStyle w:val="References"/>
      </w:pPr>
      <w:r w:rsidRPr="00C000B2">
        <w:t xml:space="preserve">Health Quality &amp; Safety Commission. 2019. </w:t>
      </w:r>
      <w:r w:rsidRPr="00C000B2">
        <w:rPr>
          <w:i/>
        </w:rPr>
        <w:t>A Window on the Quality of Aotearoa New Zealand’s Health Care 2019</w:t>
      </w:r>
      <w:r w:rsidRPr="00C000B2">
        <w:t>. Wellington: Health Quality &amp; Safety Commission.</w:t>
      </w:r>
    </w:p>
    <w:p w14:paraId="283D8012" w14:textId="77777777" w:rsidR="00EF27EC" w:rsidRPr="00C000B2" w:rsidRDefault="00EF27EC" w:rsidP="00043D21">
      <w:pPr>
        <w:pStyle w:val="References"/>
      </w:pPr>
      <w:r w:rsidRPr="00C000B2">
        <w:t xml:space="preserve">Dahlgren G, Whitehead M. 1991. </w:t>
      </w:r>
      <w:r w:rsidRPr="00153598">
        <w:rPr>
          <w:i/>
        </w:rPr>
        <w:t>Policies and Strategies to Promote Social Equity in Health</w:t>
      </w:r>
      <w:r w:rsidRPr="00C000B2">
        <w:t xml:space="preserve">. Stockholm, Sweden: Institute for Future Studies. URL: </w:t>
      </w:r>
      <w:hyperlink r:id="rId84" w:history="1">
        <w:r w:rsidR="00153598" w:rsidRPr="00153598">
          <w:rPr>
            <w:rStyle w:val="Hyperlink"/>
          </w:rPr>
          <w:t>http://www.iffs.se/media/1326/20080109110739filmZ8UVQv2wQFShMRF6cuT.pdf</w:t>
        </w:r>
      </w:hyperlink>
      <w:r w:rsidRPr="00C000B2">
        <w:t xml:space="preserve"> (accessed 8 November 2021).</w:t>
      </w:r>
    </w:p>
    <w:p w14:paraId="5A6707F5" w14:textId="77777777" w:rsidR="00EF27EC" w:rsidRPr="00C000B2" w:rsidRDefault="00EF27EC" w:rsidP="00043D21">
      <w:pPr>
        <w:pStyle w:val="References"/>
      </w:pPr>
      <w:proofErr w:type="spellStart"/>
      <w:r w:rsidRPr="00C000B2">
        <w:t>Vandevijvere</w:t>
      </w:r>
      <w:proofErr w:type="spellEnd"/>
      <w:r w:rsidRPr="00C000B2">
        <w:t xml:space="preserve"> S, Sushil Z, Exeter DJ, et al. 2016. Obesogenic retail food environments around New Zealand schools: a national study. </w:t>
      </w:r>
      <w:r w:rsidRPr="00C000B2">
        <w:rPr>
          <w:i/>
        </w:rPr>
        <w:t xml:space="preserve">American Journal of Preventive Medicine </w:t>
      </w:r>
      <w:r w:rsidRPr="00C000B2">
        <w:t>51(3): e57–e66.</w:t>
      </w:r>
    </w:p>
    <w:p w14:paraId="3DA91E8A" w14:textId="77777777" w:rsidR="00EF27EC" w:rsidRPr="00C000B2" w:rsidRDefault="00EF27EC" w:rsidP="00043D21">
      <w:pPr>
        <w:pStyle w:val="References"/>
      </w:pPr>
      <w:r w:rsidRPr="00C000B2">
        <w:t xml:space="preserve">Morrison C, </w:t>
      </w:r>
      <w:proofErr w:type="spellStart"/>
      <w:r w:rsidRPr="00C000B2">
        <w:t>Ponicki</w:t>
      </w:r>
      <w:proofErr w:type="spellEnd"/>
      <w:r w:rsidRPr="00C000B2">
        <w:t xml:space="preserve"> WR, Smith K. 2015. Social disadvantage and exposure </w:t>
      </w:r>
      <w:r w:rsidR="00153598">
        <w:t>to lower priced alcohol in off-</w:t>
      </w:r>
      <w:proofErr w:type="gramStart"/>
      <w:r w:rsidRPr="00C000B2">
        <w:t>premise</w:t>
      </w:r>
      <w:proofErr w:type="gramEnd"/>
      <w:r w:rsidRPr="00C000B2">
        <w:t xml:space="preserve"> outlets. </w:t>
      </w:r>
      <w:r w:rsidRPr="00C000B2">
        <w:rPr>
          <w:i/>
        </w:rPr>
        <w:t xml:space="preserve">Drug and Alcohol Review </w:t>
      </w:r>
      <w:r w:rsidRPr="00C000B2">
        <w:t>34(4): 375–8. DOI: 10.1111/dar.12256 (accessed 30 October 2021).</w:t>
      </w:r>
    </w:p>
    <w:p w14:paraId="1C057A7D" w14:textId="77777777" w:rsidR="00EF27EC" w:rsidRPr="00C000B2" w:rsidRDefault="00EF27EC" w:rsidP="00043D21">
      <w:pPr>
        <w:pStyle w:val="References"/>
      </w:pPr>
      <w:proofErr w:type="spellStart"/>
      <w:r w:rsidRPr="00C000B2">
        <w:t>Vandevijvere</w:t>
      </w:r>
      <w:proofErr w:type="spellEnd"/>
      <w:r w:rsidRPr="00C000B2">
        <w:t xml:space="preserve"> S, Mackay S, D’Souza E, et al. 2019. The first INFORMAS national food environments and policies survey in New Zealand: a blueprint country profile for measuring progress on creating healthy food environments. </w:t>
      </w:r>
      <w:r w:rsidRPr="00C000B2">
        <w:rPr>
          <w:i/>
        </w:rPr>
        <w:t xml:space="preserve">Obesity Reviews </w:t>
      </w:r>
      <w:r w:rsidRPr="00C000B2">
        <w:t>20:</w:t>
      </w:r>
      <w:r w:rsidR="00153598">
        <w:t> </w:t>
      </w:r>
      <w:r w:rsidRPr="00C000B2">
        <w:t>141–60.</w:t>
      </w:r>
    </w:p>
    <w:p w14:paraId="1938C589" w14:textId="77777777" w:rsidR="00EF27EC" w:rsidRPr="00C000B2" w:rsidRDefault="00EF27EC" w:rsidP="00043D21">
      <w:pPr>
        <w:pStyle w:val="References"/>
      </w:pPr>
      <w:r w:rsidRPr="00C000B2">
        <w:t xml:space="preserve">Raerino K, Macmillan AK, Jones RG. 2013. Indigenous Māori perspectives on urban transport patterns linked to health and wellbeing. </w:t>
      </w:r>
      <w:r w:rsidRPr="00C000B2">
        <w:rPr>
          <w:i/>
        </w:rPr>
        <w:t xml:space="preserve">Health &amp; Place </w:t>
      </w:r>
      <w:r w:rsidRPr="00C000B2">
        <w:t>23: 54–62.</w:t>
      </w:r>
    </w:p>
    <w:p w14:paraId="31FECE1F" w14:textId="77777777" w:rsidR="00EF27EC" w:rsidRPr="00C000B2" w:rsidRDefault="00EF27EC" w:rsidP="00043D21">
      <w:pPr>
        <w:pStyle w:val="References"/>
      </w:pPr>
      <w:r w:rsidRPr="00C000B2">
        <w:t xml:space="preserve">Wilson N, </w:t>
      </w:r>
      <w:proofErr w:type="spellStart"/>
      <w:r w:rsidRPr="00C000B2">
        <w:t>Morenga</w:t>
      </w:r>
      <w:proofErr w:type="spellEnd"/>
      <w:r w:rsidRPr="00C000B2">
        <w:t xml:space="preserve"> LT, Mackay S, et al. 2020. Food taxes and subsidies to protect health: relevance to Aotearoa New Zealand. </w:t>
      </w:r>
      <w:r w:rsidRPr="00C000B2">
        <w:rPr>
          <w:i/>
        </w:rPr>
        <w:t xml:space="preserve">New Zealand Medical Journal </w:t>
      </w:r>
      <w:r w:rsidRPr="00C000B2">
        <w:t>133(1511): 71–85.</w:t>
      </w:r>
    </w:p>
    <w:p w14:paraId="17363B54" w14:textId="77777777" w:rsidR="00EF27EC" w:rsidRPr="00C000B2" w:rsidRDefault="00EF27EC" w:rsidP="00043D21">
      <w:pPr>
        <w:pStyle w:val="References"/>
      </w:pPr>
      <w:r w:rsidRPr="00C000B2">
        <w:t xml:space="preserve">Teng AM, Atkinson J, Disney G, et al. 2016. Ethnic inequalities in cancer incidence and mortality: census-linked cohort studies with 87 million years of person-time follow-up. </w:t>
      </w:r>
      <w:r w:rsidRPr="00C000B2">
        <w:rPr>
          <w:i/>
        </w:rPr>
        <w:t xml:space="preserve">BMC Cancer </w:t>
      </w:r>
      <w:r w:rsidRPr="00C000B2">
        <w:t>16(1): 755. DOI: 10.1186%2Fs12885-016-2781-4 (accessed 30</w:t>
      </w:r>
      <w:r w:rsidR="00153598">
        <w:t> </w:t>
      </w:r>
      <w:r w:rsidRPr="00C000B2">
        <w:t>October 2021).</w:t>
      </w:r>
    </w:p>
    <w:p w14:paraId="168EC49C" w14:textId="77777777" w:rsidR="00EF27EC" w:rsidRPr="00C000B2" w:rsidRDefault="00EF27EC" w:rsidP="00043D21">
      <w:pPr>
        <w:pStyle w:val="References"/>
      </w:pPr>
      <w:r w:rsidRPr="00C000B2">
        <w:t xml:space="preserve">WHO. 2007. </w:t>
      </w:r>
      <w:r w:rsidRPr="00C000B2">
        <w:rPr>
          <w:i/>
        </w:rPr>
        <w:t xml:space="preserve">Cancer Control: Knowledge into Action: WHO </w:t>
      </w:r>
      <w:r w:rsidR="00153598">
        <w:rPr>
          <w:i/>
        </w:rPr>
        <w:t>g</w:t>
      </w:r>
      <w:r w:rsidRPr="00C000B2">
        <w:rPr>
          <w:i/>
        </w:rPr>
        <w:t xml:space="preserve">uide for </w:t>
      </w:r>
      <w:r w:rsidR="00153598">
        <w:rPr>
          <w:i/>
        </w:rPr>
        <w:t>effective p</w:t>
      </w:r>
      <w:r w:rsidRPr="00C000B2">
        <w:rPr>
          <w:i/>
        </w:rPr>
        <w:t>rogrammes: Module 2: Prevention</w:t>
      </w:r>
      <w:r w:rsidRPr="00C000B2">
        <w:t>. Geneva: World Health Organization.</w:t>
      </w:r>
    </w:p>
    <w:p w14:paraId="7E1945E5" w14:textId="77777777" w:rsidR="00153598" w:rsidRPr="00C000B2" w:rsidRDefault="00EF27EC" w:rsidP="00153598">
      <w:pPr>
        <w:pStyle w:val="References"/>
      </w:pPr>
      <w:r w:rsidRPr="00C000B2">
        <w:t xml:space="preserve">Vos T, Carter R, </w:t>
      </w:r>
      <w:proofErr w:type="spellStart"/>
      <w:r w:rsidRPr="00C000B2">
        <w:t>Barendregt</w:t>
      </w:r>
      <w:proofErr w:type="spellEnd"/>
      <w:r w:rsidRPr="00C000B2">
        <w:t xml:space="preserve"> J, et al. 2010. </w:t>
      </w:r>
      <w:r w:rsidRPr="00C000B2">
        <w:rPr>
          <w:i/>
        </w:rPr>
        <w:t xml:space="preserve">Assessing Cost-Effectiveness in Prevention (ACE–Prevention): Final </w:t>
      </w:r>
      <w:r w:rsidR="00153598">
        <w:rPr>
          <w:i/>
        </w:rPr>
        <w:t>r</w:t>
      </w:r>
      <w:r w:rsidRPr="00C000B2">
        <w:rPr>
          <w:i/>
        </w:rPr>
        <w:t>eport</w:t>
      </w:r>
      <w:r w:rsidRPr="00C000B2">
        <w:t xml:space="preserve">. Brisbane and Melbourne: University of Queensland and Deakin University. URL: </w:t>
      </w:r>
      <w:hyperlink r:id="rId85" w:history="1">
        <w:r w:rsidR="00153598" w:rsidRPr="00153598">
          <w:rPr>
            <w:rStyle w:val="Hyperlink"/>
          </w:rPr>
          <w:t>https://public-health.uq.edu.au/files/571/ACE-Prevention_final_report.pdf</w:t>
        </w:r>
      </w:hyperlink>
      <w:r w:rsidRPr="00C000B2">
        <w:t xml:space="preserve"> (accessed 30 October 2021).</w:t>
      </w:r>
    </w:p>
    <w:p w14:paraId="2A9B6F5C" w14:textId="77777777" w:rsidR="00EF27EC" w:rsidRPr="00C000B2" w:rsidRDefault="00EF27EC" w:rsidP="00043D21">
      <w:pPr>
        <w:pStyle w:val="References"/>
      </w:pPr>
      <w:r w:rsidRPr="00C000B2">
        <w:lastRenderedPageBreak/>
        <w:t xml:space="preserve">Wilson N, Grout L, Summers J, et al. 2021. Should prioritising health interventions be informed by modelling studies? The case of cancer control in Aotearoa New Zealand. </w:t>
      </w:r>
      <w:r w:rsidRPr="00C000B2">
        <w:rPr>
          <w:i/>
        </w:rPr>
        <w:t xml:space="preserve">New Zealand Medical Journal </w:t>
      </w:r>
      <w:r w:rsidRPr="00C000B2">
        <w:t>134(1531): 101–13.</w:t>
      </w:r>
    </w:p>
    <w:p w14:paraId="280BD7FE" w14:textId="77777777" w:rsidR="00EF27EC" w:rsidRPr="00C000B2" w:rsidRDefault="00EF27EC" w:rsidP="00043D21">
      <w:pPr>
        <w:pStyle w:val="References"/>
      </w:pPr>
      <w:r w:rsidRPr="00C000B2">
        <w:t xml:space="preserve">Te Aho o Te Kahu. 2021. </w:t>
      </w:r>
      <w:r w:rsidRPr="00C000B2">
        <w:rPr>
          <w:i/>
        </w:rPr>
        <w:t xml:space="preserve">He </w:t>
      </w:r>
      <w:proofErr w:type="spellStart"/>
      <w:r w:rsidRPr="00C000B2">
        <w:rPr>
          <w:i/>
        </w:rPr>
        <w:t>Pūrongo</w:t>
      </w:r>
      <w:proofErr w:type="spellEnd"/>
      <w:r w:rsidRPr="00C000B2">
        <w:rPr>
          <w:i/>
        </w:rPr>
        <w:t xml:space="preserve"> Mate </w:t>
      </w:r>
      <w:proofErr w:type="spellStart"/>
      <w:r w:rsidRPr="00C000B2">
        <w:rPr>
          <w:i/>
        </w:rPr>
        <w:t>Pukupuku</w:t>
      </w:r>
      <w:proofErr w:type="spellEnd"/>
      <w:r w:rsidRPr="00C000B2">
        <w:rPr>
          <w:i/>
        </w:rPr>
        <w:t xml:space="preserve"> o Aotearoa 2020: The State of Cancer in New Zealand 2020</w:t>
      </w:r>
      <w:r w:rsidRPr="00C000B2">
        <w:t xml:space="preserve">. Wellington: Te Aho o Te Kahu | Cancer Control Agency. URL: </w:t>
      </w:r>
      <w:hyperlink r:id="rId86" w:history="1">
        <w:r w:rsidR="000E6398" w:rsidRPr="000E6398">
          <w:rPr>
            <w:rStyle w:val="Hyperlink"/>
          </w:rPr>
          <w:t>https://teaho.govt.nz/reports/cancer-state</w:t>
        </w:r>
      </w:hyperlink>
      <w:r w:rsidRPr="00C000B2">
        <w:t xml:space="preserve"> (accessed 30 October 2021).</w:t>
      </w:r>
    </w:p>
    <w:p w14:paraId="6969EE42" w14:textId="77777777" w:rsidR="00EF27EC" w:rsidRPr="00C000B2" w:rsidRDefault="00EF27EC" w:rsidP="00043D21">
      <w:pPr>
        <w:pStyle w:val="References"/>
      </w:pPr>
      <w:r w:rsidRPr="00C000B2">
        <w:t xml:space="preserve">Global Cancer Observatory. </w:t>
      </w:r>
      <w:proofErr w:type="spellStart"/>
      <w:r w:rsidRPr="00C000B2">
        <w:t>nd</w:t>
      </w:r>
      <w:proofErr w:type="spellEnd"/>
      <w:r w:rsidRPr="00C000B2">
        <w:t xml:space="preserve">. </w:t>
      </w:r>
      <w:r w:rsidRPr="00C000B2">
        <w:rPr>
          <w:i/>
        </w:rPr>
        <w:t>Cancer Tomorrow</w:t>
      </w:r>
      <w:r w:rsidRPr="00C000B2">
        <w:t xml:space="preserve">. URL: </w:t>
      </w:r>
      <w:hyperlink r:id="rId87" w:history="1">
        <w:r w:rsidR="00A531DE" w:rsidRPr="00A531DE">
          <w:rPr>
            <w:rStyle w:val="Hyperlink"/>
          </w:rPr>
          <w:t>https://gco.iarc.fr/tomorrow/en</w:t>
        </w:r>
      </w:hyperlink>
      <w:r w:rsidRPr="00C000B2">
        <w:t xml:space="preserve"> (accessed 25 October 2021).</w:t>
      </w:r>
    </w:p>
    <w:p w14:paraId="1FE642A7" w14:textId="77777777" w:rsidR="00EF27EC" w:rsidRPr="00C000B2" w:rsidRDefault="00EF27EC" w:rsidP="00043D21">
      <w:pPr>
        <w:pStyle w:val="References"/>
      </w:pPr>
      <w:r w:rsidRPr="00C000B2">
        <w:t xml:space="preserve">Whiteman DC, Webb PM, Green AC, et al. 2015. Cancers in Australia in 2010 attributable to modifiable factors: summary and conclusions. </w:t>
      </w:r>
      <w:r w:rsidRPr="00C000B2">
        <w:rPr>
          <w:i/>
        </w:rPr>
        <w:t xml:space="preserve">Australian and New Zealand Journal of Public Health </w:t>
      </w:r>
      <w:r w:rsidRPr="00C000B2">
        <w:t>39(5): 477–84. DOI: 10.1111/1753-6405.12471 (accessed 30 October 2021).</w:t>
      </w:r>
    </w:p>
    <w:p w14:paraId="5F97D0FD" w14:textId="77777777" w:rsidR="00EF27EC" w:rsidRPr="00C000B2" w:rsidRDefault="00EF27EC" w:rsidP="00043D21">
      <w:pPr>
        <w:pStyle w:val="References"/>
      </w:pPr>
      <w:r w:rsidRPr="00C000B2">
        <w:t xml:space="preserve">IHME. 2019. </w:t>
      </w:r>
      <w:r w:rsidRPr="00C000B2">
        <w:rPr>
          <w:i/>
        </w:rPr>
        <w:t>GBD Results Tool –</w:t>
      </w:r>
      <w:r w:rsidR="00A531DE">
        <w:rPr>
          <w:i/>
        </w:rPr>
        <w:t xml:space="preserve"> </w:t>
      </w:r>
      <w:r w:rsidRPr="00C000B2">
        <w:rPr>
          <w:i/>
        </w:rPr>
        <w:t>For all ages and sexes; risk factor mortality for all cancer (neoplasms), New Zealand</w:t>
      </w:r>
      <w:r w:rsidRPr="00C000B2">
        <w:t xml:space="preserve">. Institute for Health Metrics and Evaluation. URL: </w:t>
      </w:r>
      <w:hyperlink r:id="rId88" w:history="1">
        <w:r w:rsidR="008751AF" w:rsidRPr="008751AF">
          <w:rPr>
            <w:rStyle w:val="Hyperlink"/>
          </w:rPr>
          <w:t>http://ghdx.healthdata.org/gbd-results-tool?params=gbd-api-2019-permalink/2bf916c6c5fc6390404cc2bedf64add9</w:t>
        </w:r>
      </w:hyperlink>
      <w:r w:rsidRPr="00C000B2">
        <w:t xml:space="preserve"> (accessed 24 October 2021).</w:t>
      </w:r>
    </w:p>
    <w:p w14:paraId="5E396F52" w14:textId="77777777" w:rsidR="00EF27EC" w:rsidRPr="00C000B2" w:rsidRDefault="00EF27EC" w:rsidP="00043D21">
      <w:pPr>
        <w:pStyle w:val="References"/>
      </w:pPr>
      <w:r w:rsidRPr="00C000B2">
        <w:t xml:space="preserve">IHME. 2019. </w:t>
      </w:r>
      <w:r w:rsidRPr="00C000B2">
        <w:rPr>
          <w:i/>
        </w:rPr>
        <w:t xml:space="preserve">GBD Results Tool – For all ages and sexes; tobacco-attributable mortality for </w:t>
      </w:r>
      <w:proofErr w:type="spellStart"/>
      <w:r w:rsidRPr="00C000B2">
        <w:rPr>
          <w:i/>
        </w:rPr>
        <w:t>esophageal</w:t>
      </w:r>
      <w:proofErr w:type="spellEnd"/>
      <w:r w:rsidRPr="00C000B2">
        <w:rPr>
          <w:i/>
        </w:rPr>
        <w:t>, laryngeal and oral cancer</w:t>
      </w:r>
      <w:r w:rsidRPr="00C000B2">
        <w:t xml:space="preserve">. Institute for Health Metrics and Evaluation. URL: </w:t>
      </w:r>
      <w:hyperlink r:id="rId89" w:history="1">
        <w:r w:rsidR="008751AF" w:rsidRPr="008751AF">
          <w:rPr>
            <w:rStyle w:val="Hyperlink"/>
          </w:rPr>
          <w:t>http://ghdx.healthdata.org/gbd-results-tool?params=gbd-api-2019-permalink/ba7e36a69e3c24ab21c8938845d6eecf</w:t>
        </w:r>
      </w:hyperlink>
      <w:r w:rsidRPr="00C000B2">
        <w:t xml:space="preserve"> (accessed 24 October 2021).</w:t>
      </w:r>
    </w:p>
    <w:p w14:paraId="5C708ED4" w14:textId="77777777" w:rsidR="00EF27EC" w:rsidRPr="00C000B2" w:rsidRDefault="00EF27EC" w:rsidP="00043D21">
      <w:pPr>
        <w:pStyle w:val="References"/>
      </w:pPr>
      <w:r w:rsidRPr="00C000B2">
        <w:t xml:space="preserve">Wilson N, Blakely T, Tobias M. 2006. What potential has tobacco control for reducing health inequalities? The New Zealand situation. </w:t>
      </w:r>
      <w:r w:rsidRPr="00C000B2">
        <w:rPr>
          <w:i/>
        </w:rPr>
        <w:t xml:space="preserve">International Journal for Equity in Health </w:t>
      </w:r>
      <w:r w:rsidRPr="00C000B2">
        <w:t>5(1): 14. DOI: 10.1186/1475-9276-5-14 (accessed 25 October 2021).</w:t>
      </w:r>
    </w:p>
    <w:p w14:paraId="65244663" w14:textId="77777777" w:rsidR="00EF27EC" w:rsidRPr="00C000B2" w:rsidRDefault="00EF27EC" w:rsidP="00043D21">
      <w:pPr>
        <w:pStyle w:val="References"/>
      </w:pPr>
      <w:r w:rsidRPr="00C000B2">
        <w:t xml:space="preserve">Shaw C, Blakely T, Sarfati D, et al. 2005. Varying evolution of the New Zealand lung cancer epidemic by ethnicity and socioeconomic position (1981–1999). </w:t>
      </w:r>
      <w:r w:rsidRPr="00C000B2">
        <w:rPr>
          <w:i/>
        </w:rPr>
        <w:t xml:space="preserve">New Zealand Medical Journal </w:t>
      </w:r>
      <w:r w:rsidRPr="00C000B2">
        <w:t>118(1213): U1411.</w:t>
      </w:r>
    </w:p>
    <w:p w14:paraId="3BAD28F8" w14:textId="77777777" w:rsidR="00EF27EC" w:rsidRPr="00C000B2" w:rsidRDefault="00EF27EC" w:rsidP="00043D21">
      <w:pPr>
        <w:pStyle w:val="References"/>
      </w:pPr>
      <w:r w:rsidRPr="00C000B2">
        <w:t xml:space="preserve">Wild C, </w:t>
      </w:r>
      <w:proofErr w:type="spellStart"/>
      <w:r w:rsidRPr="00C000B2">
        <w:t>Weiderpass</w:t>
      </w:r>
      <w:proofErr w:type="spellEnd"/>
      <w:r w:rsidRPr="00C000B2">
        <w:t xml:space="preserve"> E, Stewart B (eds). 2020. </w:t>
      </w:r>
      <w:r w:rsidRPr="00C000B2">
        <w:rPr>
          <w:i/>
        </w:rPr>
        <w:t>World Cancer Report: Cancer research for cancer prevention</w:t>
      </w:r>
      <w:r w:rsidRPr="00C000B2">
        <w:t>. Lyon: International Agency for Research on Cancer. URL:</w:t>
      </w:r>
      <w:hyperlink r:id="rId90" w:history="1">
        <w:r w:rsidR="008751AF" w:rsidRPr="0078291A">
          <w:rPr>
            <w:rStyle w:val="Hyperlink"/>
          </w:rPr>
          <w:t xml:space="preserve"> http://publications.iarc.fr/586</w:t>
        </w:r>
      </w:hyperlink>
      <w:r w:rsidR="008751AF">
        <w:t xml:space="preserve"> (a</w:t>
      </w:r>
      <w:r w:rsidRPr="00C000B2">
        <w:t>ccessed 25 October 2021).</w:t>
      </w:r>
    </w:p>
    <w:p w14:paraId="7D09863C" w14:textId="77777777" w:rsidR="00EF27EC" w:rsidRPr="00C000B2" w:rsidRDefault="00EF27EC" w:rsidP="00043D21">
      <w:pPr>
        <w:pStyle w:val="References"/>
      </w:pPr>
      <w:r w:rsidRPr="00C000B2">
        <w:t xml:space="preserve">Te Hiringa Hauora | Health Promotion Agency. 2020. Overview of key tobacco control trends. </w:t>
      </w:r>
      <w:r w:rsidRPr="008751AF">
        <w:rPr>
          <w:i/>
        </w:rPr>
        <w:t>Tobacco Control Data Repository</w:t>
      </w:r>
      <w:r w:rsidRPr="00C000B2">
        <w:t>. Wellington: Te Hiringa Hauora | Health Promotion Agency.</w:t>
      </w:r>
      <w:r w:rsidR="008751AF">
        <w:t xml:space="preserve"> </w:t>
      </w:r>
      <w:r w:rsidRPr="00C000B2">
        <w:t xml:space="preserve">URL: </w:t>
      </w:r>
      <w:hyperlink r:id="rId91" w:history="1">
        <w:r w:rsidR="008751AF" w:rsidRPr="008751AF">
          <w:rPr>
            <w:rStyle w:val="Hyperlink"/>
          </w:rPr>
          <w:t>https://tcdata.org.nz/TobaccoSectorOverview.html</w:t>
        </w:r>
      </w:hyperlink>
      <w:r w:rsidRPr="00C000B2">
        <w:t xml:space="preserve"> (accessed 30 October 2021).</w:t>
      </w:r>
    </w:p>
    <w:p w14:paraId="716FAB52" w14:textId="77777777" w:rsidR="00EF27EC" w:rsidRPr="00C000B2" w:rsidRDefault="00EF27EC" w:rsidP="00043D21">
      <w:pPr>
        <w:pStyle w:val="References"/>
      </w:pPr>
      <w:r w:rsidRPr="00C000B2">
        <w:t xml:space="preserve">Ministry of Health. 2020. </w:t>
      </w:r>
      <w:r w:rsidRPr="008751AF">
        <w:rPr>
          <w:i/>
        </w:rPr>
        <w:t>Tier 1 Statistics 2019/20: New Zealand Health Survey</w:t>
      </w:r>
      <w:r w:rsidRPr="00C000B2">
        <w:t>.</w:t>
      </w:r>
      <w:r w:rsidR="008751AF">
        <w:t xml:space="preserve"> </w:t>
      </w:r>
      <w:r w:rsidRPr="00C000B2">
        <w:t xml:space="preserve">URL: </w:t>
      </w:r>
      <w:r w:rsidRPr="008751AF">
        <w:rPr>
          <w:rStyle w:val="Hyperlink"/>
        </w:rPr>
        <w:t>https://</w:t>
      </w:r>
      <w:hyperlink r:id="rId92">
        <w:r w:rsidRPr="008751AF">
          <w:rPr>
            <w:rStyle w:val="Hyperlink"/>
          </w:rPr>
          <w:t>www.health.govt.nz/publication/tier-1-statistics-2019-20-new-zealand-health-survey</w:t>
        </w:r>
      </w:hyperlink>
      <w:r w:rsidRPr="00C000B2">
        <w:t xml:space="preserve"> (accessed 29 October 2021).</w:t>
      </w:r>
    </w:p>
    <w:p w14:paraId="640C6EFC" w14:textId="77777777" w:rsidR="00EF27EC" w:rsidRPr="00C000B2" w:rsidRDefault="00EF27EC" w:rsidP="00043D21">
      <w:pPr>
        <w:pStyle w:val="References"/>
      </w:pPr>
      <w:r w:rsidRPr="00C000B2">
        <w:t xml:space="preserve">Edwards R, Hoek J, Wilson N, et al. 2020. What does the 2019/20 NZ Health Survey tell us about progress towards a </w:t>
      </w:r>
      <w:proofErr w:type="spellStart"/>
      <w:r w:rsidRPr="00C000B2">
        <w:t>Smokefree</w:t>
      </w:r>
      <w:proofErr w:type="spellEnd"/>
      <w:r w:rsidRPr="00C000B2">
        <w:t xml:space="preserve"> Aotearoa? </w:t>
      </w:r>
      <w:r w:rsidRPr="00C000B2">
        <w:rPr>
          <w:i/>
        </w:rPr>
        <w:t xml:space="preserve">Public Health Expert </w:t>
      </w:r>
      <w:r w:rsidRPr="00C000B2">
        <w:t>14</w:t>
      </w:r>
      <w:r w:rsidR="008751AF">
        <w:t> </w:t>
      </w:r>
      <w:r w:rsidRPr="00C000B2">
        <w:t xml:space="preserve">December. URL: </w:t>
      </w:r>
      <w:hyperlink r:id="rId93" w:history="1">
        <w:r w:rsidR="008751AF" w:rsidRPr="008751AF">
          <w:rPr>
            <w:rStyle w:val="Hyperlink"/>
          </w:rPr>
          <w:t>https://blogs.otago.ac.nz/pubhealthexpert/what-does-the-2019-20-nz-health-survey-tell-us-about-progress-towards-a-smokefree-aotearoa/</w:t>
        </w:r>
      </w:hyperlink>
      <w:r w:rsidRPr="00C000B2">
        <w:t xml:space="preserve"> (accessed 26 October 2021).</w:t>
      </w:r>
    </w:p>
    <w:p w14:paraId="4C0A9FAC" w14:textId="77777777" w:rsidR="00EF27EC" w:rsidRPr="00C000B2" w:rsidRDefault="00EF27EC" w:rsidP="00043D21">
      <w:pPr>
        <w:pStyle w:val="References"/>
      </w:pPr>
      <w:r w:rsidRPr="00C000B2">
        <w:lastRenderedPageBreak/>
        <w:t xml:space="preserve">Ministry of Health. 2020. </w:t>
      </w:r>
      <w:r w:rsidRPr="00105238">
        <w:rPr>
          <w:i/>
        </w:rPr>
        <w:t xml:space="preserve">Annual Data Explorer 2019/20: New Zealand Health Survey </w:t>
      </w:r>
      <w:r w:rsidRPr="00C000B2">
        <w:t>[Data File].</w:t>
      </w:r>
      <w:r w:rsidR="00105238">
        <w:t xml:space="preserve"> </w:t>
      </w:r>
      <w:r w:rsidRPr="00C000B2">
        <w:t xml:space="preserve">URL: </w:t>
      </w:r>
      <w:hyperlink r:id="rId94" w:history="1">
        <w:r w:rsidR="00105238" w:rsidRPr="00105238">
          <w:rPr>
            <w:rStyle w:val="Hyperlink"/>
          </w:rPr>
          <w:t>https://minhealthnz.shinyapps.io/nz-health-survey-2019-20-annual-data-explorer/</w:t>
        </w:r>
      </w:hyperlink>
      <w:r w:rsidRPr="00C000B2">
        <w:t xml:space="preserve"> (accessed 26 October 2021).</w:t>
      </w:r>
    </w:p>
    <w:p w14:paraId="4E9C796D" w14:textId="77777777" w:rsidR="00EF27EC" w:rsidRPr="00C000B2" w:rsidRDefault="00EF27EC" w:rsidP="00043D21">
      <w:pPr>
        <w:pStyle w:val="References"/>
      </w:pPr>
      <w:r w:rsidRPr="00C000B2">
        <w:t xml:space="preserve">Te Hiringa Hauora | Health Promotion Agency. </w:t>
      </w:r>
      <w:proofErr w:type="spellStart"/>
      <w:r w:rsidRPr="00C000B2">
        <w:t>nd</w:t>
      </w:r>
      <w:proofErr w:type="spellEnd"/>
      <w:r w:rsidRPr="00C000B2">
        <w:t xml:space="preserve">. </w:t>
      </w:r>
      <w:r w:rsidRPr="00105238">
        <w:rPr>
          <w:i/>
        </w:rPr>
        <w:t>Tobacco Control Data Repository</w:t>
      </w:r>
      <w:r w:rsidRPr="00C000B2">
        <w:t xml:space="preserve">. URL: </w:t>
      </w:r>
      <w:hyperlink r:id="rId95" w:history="1">
        <w:r w:rsidR="00105238" w:rsidRPr="00105238">
          <w:rPr>
            <w:rStyle w:val="Hyperlink"/>
          </w:rPr>
          <w:t>https://tcdata.org.nz/Misc%20data/Misc_01.html</w:t>
        </w:r>
      </w:hyperlink>
      <w:r w:rsidRPr="00C000B2">
        <w:t xml:space="preserve"> (accessed 25</w:t>
      </w:r>
      <w:r w:rsidR="00105238">
        <w:t> </w:t>
      </w:r>
      <w:r w:rsidRPr="00C000B2">
        <w:t>October 2021).</w:t>
      </w:r>
    </w:p>
    <w:p w14:paraId="63EB32AC" w14:textId="77777777" w:rsidR="00EF27EC" w:rsidRPr="00C000B2" w:rsidRDefault="00EF27EC" w:rsidP="00043D21">
      <w:pPr>
        <w:pStyle w:val="References"/>
      </w:pPr>
      <w:r w:rsidRPr="00C000B2">
        <w:t xml:space="preserve">ASPIRE2025. 2021. </w:t>
      </w:r>
      <w:r w:rsidRPr="00105238">
        <w:rPr>
          <w:i/>
        </w:rPr>
        <w:t>ASPIRE2025: Research for a tobacco-free Aotearoa</w:t>
      </w:r>
      <w:r w:rsidRPr="00C000B2">
        <w:t xml:space="preserve">. URL: </w:t>
      </w:r>
      <w:hyperlink r:id="rId96" w:history="1">
        <w:r w:rsidR="00105238" w:rsidRPr="00105238">
          <w:rPr>
            <w:rStyle w:val="Hyperlink"/>
          </w:rPr>
          <w:t>https://aspire2025.org.nz/</w:t>
        </w:r>
      </w:hyperlink>
      <w:r w:rsidRPr="00C000B2">
        <w:t xml:space="preserve"> (accessed 25 October 2021).</w:t>
      </w:r>
    </w:p>
    <w:p w14:paraId="5103D5C9" w14:textId="77777777" w:rsidR="00EF27EC" w:rsidRPr="00C000B2" w:rsidRDefault="00EF27EC" w:rsidP="00043D21">
      <w:pPr>
        <w:pStyle w:val="References"/>
      </w:pPr>
      <w:r w:rsidRPr="00C000B2">
        <w:t xml:space="preserve">WHO. 2003. </w:t>
      </w:r>
      <w:r w:rsidRPr="00C000B2">
        <w:rPr>
          <w:i/>
        </w:rPr>
        <w:t>WHO Framework Convention on Tobacco Control</w:t>
      </w:r>
      <w:r w:rsidRPr="00C000B2">
        <w:t>. Geneva: World Health Organization.</w:t>
      </w:r>
    </w:p>
    <w:p w14:paraId="1B2D700A" w14:textId="77777777" w:rsidR="00EF27EC" w:rsidRPr="00C000B2" w:rsidRDefault="00EF27EC" w:rsidP="00043D21">
      <w:pPr>
        <w:pStyle w:val="References"/>
      </w:pPr>
      <w:r w:rsidRPr="00C000B2">
        <w:t xml:space="preserve">Ministry of Health. 2021. </w:t>
      </w:r>
      <w:proofErr w:type="spellStart"/>
      <w:r w:rsidRPr="00C000B2">
        <w:rPr>
          <w:i/>
        </w:rPr>
        <w:t>Smokefree</w:t>
      </w:r>
      <w:proofErr w:type="spellEnd"/>
      <w:r w:rsidRPr="00C000B2">
        <w:rPr>
          <w:i/>
        </w:rPr>
        <w:t xml:space="preserve"> Aotearoa 2025 Action Plan </w:t>
      </w:r>
      <w:r w:rsidR="00105238">
        <w:rPr>
          <w:i/>
        </w:rPr>
        <w:t>–</w:t>
      </w:r>
      <w:r w:rsidRPr="00C000B2">
        <w:rPr>
          <w:i/>
        </w:rPr>
        <w:t xml:space="preserve"> </w:t>
      </w:r>
      <w:proofErr w:type="spellStart"/>
      <w:r w:rsidRPr="00C000B2">
        <w:rPr>
          <w:i/>
        </w:rPr>
        <w:t>Auahi</w:t>
      </w:r>
      <w:proofErr w:type="spellEnd"/>
      <w:r w:rsidRPr="00C000B2">
        <w:rPr>
          <w:i/>
        </w:rPr>
        <w:t xml:space="preserve"> Kore Aotearoa </w:t>
      </w:r>
      <w:proofErr w:type="spellStart"/>
      <w:r w:rsidRPr="00C000B2">
        <w:rPr>
          <w:i/>
        </w:rPr>
        <w:t>Mahere</w:t>
      </w:r>
      <w:proofErr w:type="spellEnd"/>
      <w:r w:rsidRPr="00C000B2">
        <w:rPr>
          <w:i/>
        </w:rPr>
        <w:t xml:space="preserve"> </w:t>
      </w:r>
      <w:proofErr w:type="spellStart"/>
      <w:r w:rsidRPr="00C000B2">
        <w:rPr>
          <w:i/>
        </w:rPr>
        <w:t>Rautaki</w:t>
      </w:r>
      <w:proofErr w:type="spellEnd"/>
      <w:r w:rsidRPr="00C000B2">
        <w:rPr>
          <w:i/>
        </w:rPr>
        <w:t xml:space="preserve"> 2025</w:t>
      </w:r>
      <w:r w:rsidRPr="00C000B2">
        <w:t>. Wellington: Ministry of Health.</w:t>
      </w:r>
    </w:p>
    <w:p w14:paraId="392FF850" w14:textId="77777777" w:rsidR="00EF27EC" w:rsidRPr="00C000B2" w:rsidRDefault="00EF27EC" w:rsidP="00043D21">
      <w:pPr>
        <w:pStyle w:val="References"/>
      </w:pPr>
      <w:proofErr w:type="spellStart"/>
      <w:r w:rsidRPr="00C000B2">
        <w:t>Finan</w:t>
      </w:r>
      <w:proofErr w:type="spellEnd"/>
      <w:r w:rsidRPr="00C000B2">
        <w:t xml:space="preserve"> LJ, </w:t>
      </w:r>
      <w:proofErr w:type="spellStart"/>
      <w:r w:rsidRPr="00C000B2">
        <w:t>Lipperman-Kreda</w:t>
      </w:r>
      <w:proofErr w:type="spellEnd"/>
      <w:r w:rsidRPr="00C000B2">
        <w:t xml:space="preserve"> S, Abadi M, et al. 2019. Tobacco outlet density and adolescents’ cigarette smoking: a meta-analysis. </w:t>
      </w:r>
      <w:r w:rsidRPr="00C000B2">
        <w:rPr>
          <w:i/>
        </w:rPr>
        <w:t xml:space="preserve">Tobacco Control </w:t>
      </w:r>
      <w:r w:rsidRPr="00C000B2">
        <w:t>28(1): 27–33.</w:t>
      </w:r>
    </w:p>
    <w:p w14:paraId="0055F640" w14:textId="77777777" w:rsidR="00EF27EC" w:rsidRPr="00C000B2" w:rsidRDefault="00EF27EC" w:rsidP="00043D21">
      <w:pPr>
        <w:pStyle w:val="References"/>
      </w:pPr>
      <w:r w:rsidRPr="00C000B2">
        <w:t xml:space="preserve">Marsh L, </w:t>
      </w:r>
      <w:proofErr w:type="spellStart"/>
      <w:r w:rsidRPr="00C000B2">
        <w:t>Vaneckova</w:t>
      </w:r>
      <w:proofErr w:type="spellEnd"/>
      <w:r w:rsidRPr="00C000B2">
        <w:t xml:space="preserve"> P, Robertson L, et al. 2021. Association between density and proximity of tobacco retail outlets with smoking: a systematic review of youth studies. </w:t>
      </w:r>
      <w:r w:rsidRPr="00C000B2">
        <w:rPr>
          <w:i/>
        </w:rPr>
        <w:t xml:space="preserve">Health Place </w:t>
      </w:r>
      <w:r w:rsidRPr="00C000B2">
        <w:t>67: 102275. DOI: 10.1016/j. healthplace.2019.102275 (accessed 29</w:t>
      </w:r>
      <w:r w:rsidR="00105238">
        <w:t> </w:t>
      </w:r>
      <w:r w:rsidRPr="00C000B2">
        <w:t>October 2021).</w:t>
      </w:r>
    </w:p>
    <w:p w14:paraId="7CD498EA" w14:textId="77777777" w:rsidR="00EF27EC" w:rsidRPr="00C000B2" w:rsidRDefault="00EF27EC" w:rsidP="00043D21">
      <w:pPr>
        <w:pStyle w:val="References"/>
      </w:pPr>
      <w:r w:rsidRPr="00C000B2">
        <w:t xml:space="preserve">Marsh L, Ajmal A, McGee R, et al. 2016. Tobacco retail outlet density and risk of youth smoking in New Zealand. </w:t>
      </w:r>
      <w:r w:rsidRPr="00C000B2">
        <w:rPr>
          <w:i/>
        </w:rPr>
        <w:t xml:space="preserve">Tobacco Control </w:t>
      </w:r>
      <w:r w:rsidRPr="00C000B2">
        <w:t>25(e2): e71–e74.</w:t>
      </w:r>
    </w:p>
    <w:p w14:paraId="02FB3489" w14:textId="77777777" w:rsidR="00EF27EC" w:rsidRPr="00C000B2" w:rsidRDefault="00EF27EC" w:rsidP="00043D21">
      <w:pPr>
        <w:pStyle w:val="References"/>
      </w:pPr>
      <w:r w:rsidRPr="00C000B2">
        <w:t>Greenhalgh E, Parnell S. 2021. Tobacco retailer density. In EM Greenhalgh, MM</w:t>
      </w:r>
      <w:r w:rsidR="00105238">
        <w:t> </w:t>
      </w:r>
      <w:proofErr w:type="spellStart"/>
      <w:r w:rsidRPr="00C000B2">
        <w:t>Scollo</w:t>
      </w:r>
      <w:proofErr w:type="spellEnd"/>
      <w:r w:rsidRPr="00C000B2">
        <w:t xml:space="preserve"> and MH Winstanley (eds) </w:t>
      </w:r>
      <w:r w:rsidRPr="00C000B2">
        <w:rPr>
          <w:i/>
        </w:rPr>
        <w:t>Tobacco in Australia: Facts and issues</w:t>
      </w:r>
      <w:r w:rsidRPr="00C000B2">
        <w:t xml:space="preserve">. Melbourne: Cancer Council Victoria. URL: </w:t>
      </w:r>
      <w:hyperlink r:id="rId97" w:anchor="x11.9.6" w:history="1">
        <w:r w:rsidR="00105238" w:rsidRPr="00105238">
          <w:rPr>
            <w:rStyle w:val="Hyperlink"/>
          </w:rPr>
          <w:t>https://www.tobaccoinaustralia.org.au/chapter-11-advertising/11-9-retail-promotion-and-access#x11.9.6</w:t>
        </w:r>
      </w:hyperlink>
      <w:r w:rsidRPr="00C000B2">
        <w:t xml:space="preserve"> (accessed 29 October 2021).</w:t>
      </w:r>
    </w:p>
    <w:p w14:paraId="7A1B2071" w14:textId="77777777" w:rsidR="00EF27EC" w:rsidRPr="00C000B2" w:rsidRDefault="00EF27EC" w:rsidP="00043D21">
      <w:pPr>
        <w:pStyle w:val="References"/>
      </w:pPr>
      <w:r w:rsidRPr="00C000B2">
        <w:t xml:space="preserve">Pearce J, Rind E, </w:t>
      </w:r>
      <w:proofErr w:type="spellStart"/>
      <w:r w:rsidRPr="00C000B2">
        <w:t>Shortt</w:t>
      </w:r>
      <w:proofErr w:type="spellEnd"/>
      <w:r w:rsidRPr="00C000B2">
        <w:t xml:space="preserve"> N, et al. 2015. Tobacco retail environments and social inequalities in individual- level smoking and cessation among Scottish adults. </w:t>
      </w:r>
      <w:r w:rsidRPr="00C000B2">
        <w:rPr>
          <w:i/>
        </w:rPr>
        <w:t>Nicotine &amp; Tobacco Research</w:t>
      </w:r>
      <w:r w:rsidRPr="00C000B2">
        <w:t xml:space="preserve"> 18(2): 138</w:t>
      </w:r>
      <w:r w:rsidR="00105238">
        <w:t>–</w:t>
      </w:r>
      <w:r w:rsidRPr="00C000B2">
        <w:t>46.</w:t>
      </w:r>
    </w:p>
    <w:p w14:paraId="7DB8837D" w14:textId="77777777" w:rsidR="00EF27EC" w:rsidRPr="00C000B2" w:rsidRDefault="00EF27EC" w:rsidP="00043D21">
      <w:pPr>
        <w:pStyle w:val="References"/>
      </w:pPr>
      <w:r w:rsidRPr="00C000B2">
        <w:t xml:space="preserve">Marsh L, </w:t>
      </w:r>
      <w:proofErr w:type="spellStart"/>
      <w:r w:rsidRPr="00C000B2">
        <w:t>Doscher</w:t>
      </w:r>
      <w:proofErr w:type="spellEnd"/>
      <w:r w:rsidRPr="00C000B2">
        <w:t xml:space="preserve"> C, Robertson LA. 2013. Characteristics of tobacco retailers in New</w:t>
      </w:r>
      <w:r w:rsidR="00105238">
        <w:t> </w:t>
      </w:r>
      <w:r w:rsidRPr="00C000B2">
        <w:t xml:space="preserve">Zealand. </w:t>
      </w:r>
      <w:r w:rsidRPr="00105238">
        <w:rPr>
          <w:i/>
        </w:rPr>
        <w:t>Health &amp; Place</w:t>
      </w:r>
      <w:r w:rsidR="00105238">
        <w:t xml:space="preserve"> </w:t>
      </w:r>
      <w:r w:rsidRPr="00C000B2">
        <w:t>23: 165–70.</w:t>
      </w:r>
    </w:p>
    <w:p w14:paraId="2A994DAB" w14:textId="77777777" w:rsidR="00EF27EC" w:rsidRPr="00C000B2" w:rsidRDefault="00EF27EC" w:rsidP="00043D21">
      <w:pPr>
        <w:pStyle w:val="References"/>
      </w:pPr>
      <w:proofErr w:type="spellStart"/>
      <w:r w:rsidRPr="00C000B2">
        <w:t>Shortt</w:t>
      </w:r>
      <w:proofErr w:type="spellEnd"/>
      <w:r w:rsidRPr="00C000B2">
        <w:t xml:space="preserve"> NK, Tisch C, Pearce J, et al. 2015. A cross-sectional analysis of the relationship between tobacco and alcohol outlet density and neighbourhood deprivation. </w:t>
      </w:r>
      <w:r w:rsidRPr="00C000B2">
        <w:rPr>
          <w:i/>
        </w:rPr>
        <w:t xml:space="preserve">BMC Public Health </w:t>
      </w:r>
      <w:r w:rsidRPr="00C000B2">
        <w:t>15(1): 1–9.</w:t>
      </w:r>
    </w:p>
    <w:p w14:paraId="56456B51" w14:textId="77777777" w:rsidR="00EF27EC" w:rsidRPr="00C000B2" w:rsidRDefault="00EF27EC" w:rsidP="00043D21">
      <w:pPr>
        <w:pStyle w:val="References"/>
      </w:pPr>
      <w:r w:rsidRPr="00C000B2">
        <w:t xml:space="preserve">Bowden JA, </w:t>
      </w:r>
      <w:proofErr w:type="spellStart"/>
      <w:r w:rsidRPr="00C000B2">
        <w:t>Dono</w:t>
      </w:r>
      <w:proofErr w:type="spellEnd"/>
      <w:r w:rsidRPr="00C000B2">
        <w:t xml:space="preserve"> J, John DL, et al. 2014. What happens when the price of a tobacco retailer licence increases? </w:t>
      </w:r>
      <w:r w:rsidRPr="00C000B2">
        <w:rPr>
          <w:i/>
        </w:rPr>
        <w:t xml:space="preserve">Tobacco Control </w:t>
      </w:r>
      <w:r w:rsidRPr="00C000B2">
        <w:t>23(2): 178–80.</w:t>
      </w:r>
    </w:p>
    <w:p w14:paraId="4032E63B" w14:textId="77777777" w:rsidR="00EF27EC" w:rsidRPr="00C000B2" w:rsidRDefault="00EF27EC" w:rsidP="00043D21">
      <w:pPr>
        <w:pStyle w:val="References"/>
      </w:pPr>
      <w:r w:rsidRPr="00C000B2">
        <w:t xml:space="preserve">Lawman HG, Henry KA, </w:t>
      </w:r>
      <w:proofErr w:type="spellStart"/>
      <w:r w:rsidRPr="00C000B2">
        <w:t>Scheeres</w:t>
      </w:r>
      <w:proofErr w:type="spellEnd"/>
      <w:r w:rsidRPr="00C000B2">
        <w:t xml:space="preserve"> A, et al. 2020. Tobacco retail licensing and density 3</w:t>
      </w:r>
      <w:r w:rsidR="00105238">
        <w:t> </w:t>
      </w:r>
      <w:r w:rsidRPr="00C000B2">
        <w:t xml:space="preserve">years after license regulations in Philadelphia, Pennsylvania (2012–2019). </w:t>
      </w:r>
      <w:r w:rsidRPr="00C000B2">
        <w:rPr>
          <w:i/>
        </w:rPr>
        <w:t xml:space="preserve">American Journal of Public Health </w:t>
      </w:r>
      <w:r w:rsidRPr="00C000B2">
        <w:t>110(4): 547–53.</w:t>
      </w:r>
    </w:p>
    <w:p w14:paraId="7BB73D2C" w14:textId="77777777" w:rsidR="00EF27EC" w:rsidRPr="00C000B2" w:rsidRDefault="00EF27EC" w:rsidP="00043D21">
      <w:pPr>
        <w:pStyle w:val="References"/>
      </w:pPr>
      <w:r w:rsidRPr="00C000B2">
        <w:t xml:space="preserve">Pearson AL, van der </w:t>
      </w:r>
      <w:proofErr w:type="spellStart"/>
      <w:r w:rsidRPr="00C000B2">
        <w:t>Deen</w:t>
      </w:r>
      <w:proofErr w:type="spellEnd"/>
      <w:r w:rsidRPr="00C000B2">
        <w:t xml:space="preserve"> FS, Wilson N, et al. 2015. Theoretical impacts of a range of major tobacco retail outlet reduction interventions: modelling results in a country with a smoke-free nation goal. </w:t>
      </w:r>
      <w:r w:rsidRPr="00C000B2">
        <w:rPr>
          <w:i/>
        </w:rPr>
        <w:t xml:space="preserve">Tobacco Control </w:t>
      </w:r>
      <w:r w:rsidRPr="00C000B2">
        <w:t>24(e1): e32–e38.</w:t>
      </w:r>
    </w:p>
    <w:p w14:paraId="3FB2B5B9" w14:textId="77777777" w:rsidR="00EF27EC" w:rsidRPr="00C000B2" w:rsidRDefault="00EF27EC" w:rsidP="00043D21">
      <w:pPr>
        <w:pStyle w:val="References"/>
      </w:pPr>
      <w:r w:rsidRPr="00C000B2">
        <w:lastRenderedPageBreak/>
        <w:t xml:space="preserve">Pearson AL, Cleghorn CL, van der </w:t>
      </w:r>
      <w:proofErr w:type="spellStart"/>
      <w:r w:rsidRPr="00C000B2">
        <w:t>Deen</w:t>
      </w:r>
      <w:proofErr w:type="spellEnd"/>
      <w:r w:rsidRPr="00C000B2">
        <w:t xml:space="preserve"> FS, et al. 2017. Tobacco retail outlet restrictions: health and cost impacts from multistate life-table modelling in a national population. </w:t>
      </w:r>
      <w:r w:rsidRPr="00C000B2">
        <w:rPr>
          <w:i/>
        </w:rPr>
        <w:t xml:space="preserve">Tobacco Control </w:t>
      </w:r>
      <w:r w:rsidRPr="00C000B2">
        <w:t>26(5): 579–85.</w:t>
      </w:r>
    </w:p>
    <w:p w14:paraId="45F2540C" w14:textId="77777777" w:rsidR="00EF27EC" w:rsidRPr="00C000B2" w:rsidRDefault="00EF27EC" w:rsidP="00043D21">
      <w:pPr>
        <w:pStyle w:val="References"/>
      </w:pPr>
      <w:r w:rsidRPr="00C000B2">
        <w:t xml:space="preserve">Robertson L, Marsh L. 2019. Estimating the effect of a potential policy to restrict tobacco retail availability in New Zealand. </w:t>
      </w:r>
      <w:r w:rsidRPr="00C000B2">
        <w:rPr>
          <w:i/>
        </w:rPr>
        <w:t xml:space="preserve">Tobacco Control </w:t>
      </w:r>
      <w:r w:rsidRPr="00C000B2">
        <w:t>28(4): 466–8.</w:t>
      </w:r>
    </w:p>
    <w:p w14:paraId="7C8F2207" w14:textId="77777777" w:rsidR="00EF27EC" w:rsidRPr="00C000B2" w:rsidRDefault="00EF27EC" w:rsidP="00043D21">
      <w:pPr>
        <w:pStyle w:val="References"/>
      </w:pPr>
      <w:r w:rsidRPr="00C000B2">
        <w:t xml:space="preserve">van der </w:t>
      </w:r>
      <w:proofErr w:type="spellStart"/>
      <w:r w:rsidRPr="00C000B2">
        <w:t>Deen</w:t>
      </w:r>
      <w:proofErr w:type="spellEnd"/>
      <w:r w:rsidRPr="00C000B2">
        <w:t xml:space="preserve"> FS, Wilson N, Cleghorn CL, et al. 2018. Impact of five tobacco endgame strategies on future smoking prevalence, population health and health system costs: two modelling studies to inform the tobacco endgame. </w:t>
      </w:r>
      <w:r w:rsidRPr="00C000B2">
        <w:rPr>
          <w:i/>
        </w:rPr>
        <w:t xml:space="preserve">Tobacco Control </w:t>
      </w:r>
      <w:r w:rsidRPr="00C000B2">
        <w:t>27(3): 278–86.</w:t>
      </w:r>
    </w:p>
    <w:p w14:paraId="1A19664C" w14:textId="77777777" w:rsidR="00EF27EC" w:rsidRPr="00C000B2" w:rsidRDefault="00EF27EC" w:rsidP="00043D21">
      <w:pPr>
        <w:pStyle w:val="References"/>
      </w:pPr>
      <w:r w:rsidRPr="00C000B2">
        <w:t>Robertson L, Marsh L, Edwards R, et al. 2016. Regulating tobacco retail in New</w:t>
      </w:r>
      <w:r w:rsidR="00105238">
        <w:t> </w:t>
      </w:r>
      <w:r w:rsidRPr="00C000B2">
        <w:t xml:space="preserve">Zealand: what can we learn from overseas? </w:t>
      </w:r>
      <w:r w:rsidRPr="00C000B2">
        <w:rPr>
          <w:i/>
        </w:rPr>
        <w:t xml:space="preserve">New Zealand Medical Journal </w:t>
      </w:r>
      <w:r w:rsidRPr="00C000B2">
        <w:t>129(1432): 74–9.</w:t>
      </w:r>
    </w:p>
    <w:p w14:paraId="5B763FE8" w14:textId="77777777" w:rsidR="00EF27EC" w:rsidRPr="00C000B2" w:rsidRDefault="00EF27EC" w:rsidP="00043D21">
      <w:pPr>
        <w:pStyle w:val="References"/>
      </w:pPr>
      <w:r w:rsidRPr="00C000B2">
        <w:t xml:space="preserve">van Lier B, de Kanter W. 2020. Netherlands: Move to phase out tobacco sales in supermarkets and petrol stations. </w:t>
      </w:r>
      <w:r w:rsidRPr="00C000B2">
        <w:rPr>
          <w:i/>
        </w:rPr>
        <w:t xml:space="preserve">Tobacco Control </w:t>
      </w:r>
      <w:r w:rsidRPr="00C000B2">
        <w:t xml:space="preserve">29(247). URL: </w:t>
      </w:r>
      <w:hyperlink r:id="rId98" w:history="1">
        <w:r w:rsidR="00105238" w:rsidRPr="00105238">
          <w:rPr>
            <w:rStyle w:val="Hyperlink"/>
          </w:rPr>
          <w:t>https://tobaccocontrol.bmj.com/content/29/3/247</w:t>
        </w:r>
      </w:hyperlink>
      <w:r w:rsidRPr="00C000B2">
        <w:t xml:space="preserve"> (accessed 24 October 2021).</w:t>
      </w:r>
    </w:p>
    <w:p w14:paraId="627EA05D" w14:textId="77777777" w:rsidR="00EF27EC" w:rsidRPr="00C000B2" w:rsidRDefault="00EF27EC" w:rsidP="00043D21">
      <w:pPr>
        <w:pStyle w:val="References"/>
      </w:pPr>
      <w:r w:rsidRPr="00C000B2">
        <w:t xml:space="preserve">Glasser A, Roberts M. 2021. Retailer density reduction approaches to tobacco control: a review. </w:t>
      </w:r>
      <w:r w:rsidRPr="00C000B2">
        <w:rPr>
          <w:i/>
        </w:rPr>
        <w:t xml:space="preserve">Health &amp; Place </w:t>
      </w:r>
      <w:r w:rsidRPr="00C000B2">
        <w:t>67:102342.</w:t>
      </w:r>
    </w:p>
    <w:p w14:paraId="2EDAFE02" w14:textId="77777777" w:rsidR="00EF27EC" w:rsidRPr="00C000B2" w:rsidRDefault="00EF27EC" w:rsidP="00043D21">
      <w:pPr>
        <w:pStyle w:val="References"/>
      </w:pPr>
      <w:proofErr w:type="spellStart"/>
      <w:r w:rsidRPr="00C000B2">
        <w:t>Benowitz</w:t>
      </w:r>
      <w:proofErr w:type="spellEnd"/>
      <w:r w:rsidRPr="00C000B2">
        <w:t xml:space="preserve"> NL. 2010. Nicotine addiction. </w:t>
      </w:r>
      <w:r w:rsidRPr="00C000B2">
        <w:rPr>
          <w:i/>
        </w:rPr>
        <w:t xml:space="preserve">New England Journal of Medicine </w:t>
      </w:r>
      <w:r w:rsidRPr="00C000B2">
        <w:t>362(24):</w:t>
      </w:r>
      <w:r w:rsidR="00105238">
        <w:t> </w:t>
      </w:r>
      <w:r w:rsidRPr="00C000B2">
        <w:t>2295–303.</w:t>
      </w:r>
    </w:p>
    <w:p w14:paraId="224F4D9F" w14:textId="77777777" w:rsidR="00EF27EC" w:rsidRPr="00C000B2" w:rsidRDefault="00EF27EC" w:rsidP="00043D21">
      <w:pPr>
        <w:pStyle w:val="References"/>
      </w:pPr>
      <w:r w:rsidRPr="00C000B2">
        <w:t xml:space="preserve">Edwards R, Wilson N, Hoek J, et al. 2021. Five strategic approaches to achieving the </w:t>
      </w:r>
      <w:proofErr w:type="spellStart"/>
      <w:r w:rsidRPr="00C000B2">
        <w:t>Smokefree</w:t>
      </w:r>
      <w:proofErr w:type="spellEnd"/>
      <w:r w:rsidRPr="00C000B2">
        <w:t xml:space="preserve"> Aotearoa 2025 goal. </w:t>
      </w:r>
      <w:r w:rsidRPr="00C000B2">
        <w:rPr>
          <w:i/>
        </w:rPr>
        <w:t xml:space="preserve">Public Health Expert </w:t>
      </w:r>
      <w:r w:rsidRPr="00C000B2">
        <w:t xml:space="preserve">28 January. URL: </w:t>
      </w:r>
      <w:hyperlink r:id="rId99" w:history="1">
        <w:r w:rsidR="00105238" w:rsidRPr="0078291A">
          <w:rPr>
            <w:rStyle w:val="Hyperlink"/>
          </w:rPr>
          <w:t>https://blogs.otago.ac.nz/pubhealthexpert/five-strategic-approaches-to-achieving-the-smokefree-aotearoa-2025-goal/</w:t>
        </w:r>
      </w:hyperlink>
      <w:r w:rsidRPr="00C000B2">
        <w:t xml:space="preserve"> (accessed 25 October 2021).</w:t>
      </w:r>
    </w:p>
    <w:p w14:paraId="57619DC2" w14:textId="77777777" w:rsidR="00EF27EC" w:rsidRPr="00C000B2" w:rsidRDefault="00EF27EC" w:rsidP="00043D21">
      <w:pPr>
        <w:pStyle w:val="References"/>
      </w:pPr>
      <w:proofErr w:type="spellStart"/>
      <w:r w:rsidRPr="00C000B2">
        <w:t>Apelberg</w:t>
      </w:r>
      <w:proofErr w:type="spellEnd"/>
      <w:r w:rsidRPr="00C000B2">
        <w:t xml:space="preserve"> BJ, </w:t>
      </w:r>
      <w:proofErr w:type="spellStart"/>
      <w:r w:rsidRPr="00C000B2">
        <w:t>Feirman</w:t>
      </w:r>
      <w:proofErr w:type="spellEnd"/>
      <w:r w:rsidRPr="00C000B2">
        <w:t xml:space="preserve"> SP, Salazar E, et al. 2018. Potential public health effects of reducing nicotine levels in cigarettes in the United States. </w:t>
      </w:r>
      <w:r w:rsidRPr="00C000B2">
        <w:rPr>
          <w:i/>
        </w:rPr>
        <w:t xml:space="preserve">New England Journal of Medicine </w:t>
      </w:r>
      <w:r w:rsidRPr="00C000B2">
        <w:t>378(18): 1725–33.</w:t>
      </w:r>
    </w:p>
    <w:p w14:paraId="56EE02E0" w14:textId="77777777" w:rsidR="00EF27EC" w:rsidRPr="00C000B2" w:rsidRDefault="00EF27EC" w:rsidP="00043D21">
      <w:pPr>
        <w:pStyle w:val="References"/>
      </w:pPr>
      <w:r w:rsidRPr="00C000B2">
        <w:t xml:space="preserve">Harris B. 2011. The intractable cigarette ‘filter problem’. </w:t>
      </w:r>
      <w:r w:rsidRPr="00C000B2">
        <w:rPr>
          <w:i/>
        </w:rPr>
        <w:t xml:space="preserve">Tobacco Control </w:t>
      </w:r>
      <w:r w:rsidRPr="00C000B2">
        <w:t>20(</w:t>
      </w:r>
      <w:proofErr w:type="spellStart"/>
      <w:r w:rsidRPr="00C000B2">
        <w:t>Suppl</w:t>
      </w:r>
      <w:proofErr w:type="spellEnd"/>
      <w:r w:rsidR="00105238">
        <w:t> </w:t>
      </w:r>
      <w:r w:rsidRPr="00C000B2">
        <w:t>1): i10. DOI: 10.1136/ tc.2010.040113 (accessed 29 October 2021).</w:t>
      </w:r>
    </w:p>
    <w:p w14:paraId="03F13EB2" w14:textId="77777777" w:rsidR="00EF27EC" w:rsidRPr="00C000B2" w:rsidRDefault="00EF27EC" w:rsidP="00043D21">
      <w:pPr>
        <w:pStyle w:val="References"/>
      </w:pPr>
      <w:r w:rsidRPr="00C000B2">
        <w:t xml:space="preserve">Hoek J, </w:t>
      </w:r>
      <w:proofErr w:type="spellStart"/>
      <w:r w:rsidRPr="00C000B2">
        <w:t>Gendall</w:t>
      </w:r>
      <w:proofErr w:type="spellEnd"/>
      <w:r w:rsidRPr="00C000B2">
        <w:t xml:space="preserve"> P, Eckert C, et al. 2019. Young adult susceptible non-smokers’ and smokers’ responses to capsule cigarettes. </w:t>
      </w:r>
      <w:r w:rsidRPr="00C000B2">
        <w:rPr>
          <w:i/>
        </w:rPr>
        <w:t xml:space="preserve">Tobacco Control </w:t>
      </w:r>
      <w:r w:rsidRPr="00C000B2">
        <w:t>28(5): 498. DOI: 10.1136/tobaccocontrol-2018-054470 (accessed 29 October 2021).</w:t>
      </w:r>
    </w:p>
    <w:p w14:paraId="58FED4AE" w14:textId="77777777" w:rsidR="00EF27EC" w:rsidRPr="00C000B2" w:rsidRDefault="00EF27EC" w:rsidP="00043D21">
      <w:pPr>
        <w:pStyle w:val="References"/>
      </w:pPr>
      <w:r w:rsidRPr="00C000B2">
        <w:t xml:space="preserve">Hoek J, </w:t>
      </w:r>
      <w:proofErr w:type="spellStart"/>
      <w:r w:rsidRPr="00C000B2">
        <w:t>Gendall</w:t>
      </w:r>
      <w:proofErr w:type="spellEnd"/>
      <w:r w:rsidRPr="00C000B2">
        <w:t xml:space="preserve"> P, Novotny T, et al. 2021. The case for banning cigarette filters: addressing a consumer fraud, smoking </w:t>
      </w:r>
      <w:proofErr w:type="gramStart"/>
      <w:r w:rsidRPr="00C000B2">
        <w:t>decoy</w:t>
      </w:r>
      <w:proofErr w:type="gramEnd"/>
      <w:r w:rsidRPr="00C000B2">
        <w:t xml:space="preserve"> and environmental hazard. </w:t>
      </w:r>
      <w:r w:rsidRPr="00C000B2">
        <w:rPr>
          <w:i/>
        </w:rPr>
        <w:t xml:space="preserve">Public Health Expert </w:t>
      </w:r>
      <w:r w:rsidRPr="00C000B2">
        <w:t xml:space="preserve">21 October. URL: </w:t>
      </w:r>
      <w:hyperlink r:id="rId100" w:history="1">
        <w:r w:rsidR="00105238" w:rsidRPr="00105238">
          <w:rPr>
            <w:rStyle w:val="Hyperlink"/>
          </w:rPr>
          <w:t>https://blogs.otago.ac.nz/pubhealthexpert/the-case-for-banning-cigarette-filters-addressing-a-consumer-fraud-smoking-decoy-and-environmental-hazard/</w:t>
        </w:r>
      </w:hyperlink>
      <w:r w:rsidRPr="00C000B2">
        <w:t xml:space="preserve"> (accessed 26 October 2021).</w:t>
      </w:r>
    </w:p>
    <w:p w14:paraId="433202E2" w14:textId="77777777" w:rsidR="00EF27EC" w:rsidRPr="00C000B2" w:rsidRDefault="00EF27EC" w:rsidP="00043D21">
      <w:pPr>
        <w:pStyle w:val="References"/>
      </w:pPr>
      <w:r w:rsidRPr="00C000B2">
        <w:t xml:space="preserve">Berman ML, Glasser AM. 2019. Nicotine reduction in cigarettes: literature review and gap analysis. </w:t>
      </w:r>
      <w:r w:rsidRPr="00C000B2">
        <w:rPr>
          <w:i/>
        </w:rPr>
        <w:t xml:space="preserve">Nicotine &amp; Tobacco Research </w:t>
      </w:r>
      <w:r w:rsidRPr="00C000B2">
        <w:t>21(</w:t>
      </w:r>
      <w:proofErr w:type="spellStart"/>
      <w:r w:rsidRPr="00C000B2">
        <w:t>Suppl</w:t>
      </w:r>
      <w:proofErr w:type="spellEnd"/>
      <w:r w:rsidRPr="00C000B2">
        <w:t xml:space="preserve"> 1): S133–S144.</w:t>
      </w:r>
    </w:p>
    <w:p w14:paraId="70A5729D" w14:textId="77777777" w:rsidR="00EF27EC" w:rsidRPr="00C000B2" w:rsidRDefault="00EF27EC" w:rsidP="00043D21">
      <w:pPr>
        <w:pStyle w:val="References"/>
      </w:pPr>
      <w:r w:rsidRPr="00C000B2">
        <w:t xml:space="preserve">Donny EC, Walker N, </w:t>
      </w:r>
      <w:proofErr w:type="spellStart"/>
      <w:r w:rsidRPr="00C000B2">
        <w:t>Hatsukami</w:t>
      </w:r>
      <w:proofErr w:type="spellEnd"/>
      <w:r w:rsidRPr="00C000B2">
        <w:t xml:space="preserve"> D, et al. 2017. Reducing the nicotine content of combusted tobacco products sold in New Zealand. </w:t>
      </w:r>
      <w:r w:rsidRPr="00C000B2">
        <w:rPr>
          <w:i/>
        </w:rPr>
        <w:t>Tobacco Control</w:t>
      </w:r>
      <w:r w:rsidR="00105238">
        <w:br/>
      </w:r>
      <w:r w:rsidRPr="00C000B2">
        <w:t>26(e1): e37–e42.</w:t>
      </w:r>
    </w:p>
    <w:p w14:paraId="162ADB10" w14:textId="77777777" w:rsidR="00EF27EC" w:rsidRPr="00C000B2" w:rsidRDefault="00EF27EC" w:rsidP="00105238">
      <w:pPr>
        <w:pStyle w:val="References"/>
        <w:keepNext/>
        <w:keepLines/>
      </w:pPr>
      <w:r w:rsidRPr="00C000B2">
        <w:lastRenderedPageBreak/>
        <w:t xml:space="preserve">Edwards R, Hoek J, Wilson N, et al. 2021. Reducing nicotine in smoked tobacco products: </w:t>
      </w:r>
      <w:r w:rsidR="00105238">
        <w:t>a</w:t>
      </w:r>
      <w:r w:rsidRPr="00C000B2">
        <w:t xml:space="preserve"> pivotal feature of the proposals for achieving </w:t>
      </w:r>
      <w:proofErr w:type="spellStart"/>
      <w:r w:rsidRPr="00C000B2">
        <w:t>Smokefree</w:t>
      </w:r>
      <w:proofErr w:type="spellEnd"/>
      <w:r w:rsidRPr="00C000B2">
        <w:t xml:space="preserve"> Aotearoa 2025. </w:t>
      </w:r>
      <w:r w:rsidRPr="00C000B2">
        <w:rPr>
          <w:i/>
        </w:rPr>
        <w:t xml:space="preserve">Public Health Expert </w:t>
      </w:r>
      <w:r w:rsidRPr="00C000B2">
        <w:t xml:space="preserve">30 April. URL: </w:t>
      </w:r>
      <w:hyperlink r:id="rId101" w:history="1">
        <w:r w:rsidR="00105238" w:rsidRPr="00105238">
          <w:rPr>
            <w:rStyle w:val="Hyperlink"/>
          </w:rPr>
          <w:t>https://blogs.otago.ac.nz/pubhealthexpert/reducing-nicotine-in-smoked-tobacco-products-a-pivotal-feature-of-the-proposals-for-achieving-smokefree-aotearoa-2025/</w:t>
        </w:r>
      </w:hyperlink>
      <w:r w:rsidRPr="00C000B2">
        <w:t xml:space="preserve"> (accessed 25 October 2021).</w:t>
      </w:r>
    </w:p>
    <w:p w14:paraId="0522A931" w14:textId="77777777" w:rsidR="00EF27EC" w:rsidRPr="00C000B2" w:rsidRDefault="00EF27EC" w:rsidP="00043D21">
      <w:pPr>
        <w:pStyle w:val="References"/>
      </w:pPr>
      <w:r w:rsidRPr="00C000B2">
        <w:t>McKiernan A, Stanley J, Waa AM, et al. 2019. Beliefs among adult smokers and quitters about nicotine and de-</w:t>
      </w:r>
      <w:proofErr w:type="spellStart"/>
      <w:r w:rsidRPr="00C000B2">
        <w:t>nicotinized</w:t>
      </w:r>
      <w:proofErr w:type="spellEnd"/>
      <w:r w:rsidRPr="00C000B2">
        <w:t xml:space="preserve"> cigarettes in the 2016-17 ITC New Zealand Survey. </w:t>
      </w:r>
      <w:r w:rsidRPr="00C000B2">
        <w:rPr>
          <w:i/>
        </w:rPr>
        <w:t xml:space="preserve">Tobacco Regulatory Science </w:t>
      </w:r>
      <w:r w:rsidRPr="00C000B2">
        <w:t>5(5): 400–9.</w:t>
      </w:r>
    </w:p>
    <w:p w14:paraId="1DC16F01" w14:textId="77777777" w:rsidR="00EF27EC" w:rsidRPr="00C000B2" w:rsidRDefault="00EF27EC" w:rsidP="00043D21">
      <w:pPr>
        <w:pStyle w:val="References"/>
      </w:pPr>
      <w:r w:rsidRPr="00C000B2">
        <w:t xml:space="preserve">Food and Drug Administration. 2018. </w:t>
      </w:r>
      <w:r w:rsidRPr="00C000B2">
        <w:rPr>
          <w:i/>
        </w:rPr>
        <w:t>Tobacco Product Standard for Nicotine Level of Combusted Cigarettes</w:t>
      </w:r>
      <w:r w:rsidRPr="00C000B2">
        <w:t xml:space="preserve">. URL: </w:t>
      </w:r>
      <w:hyperlink r:id="rId102" w:history="1">
        <w:r w:rsidR="00105238" w:rsidRPr="00105238">
          <w:rPr>
            <w:rStyle w:val="Hyperlink"/>
          </w:rPr>
          <w:t>https://www.federalregister.gov/documents/2018/03/16/2018-05345/tobacco-product-standard-for-nicotine-level-of-combusted-cigarettes</w:t>
        </w:r>
      </w:hyperlink>
      <w:r w:rsidRPr="00C000B2">
        <w:t xml:space="preserve"> (accessed 29</w:t>
      </w:r>
      <w:r w:rsidR="00105238">
        <w:t> </w:t>
      </w:r>
      <w:r w:rsidRPr="00C000B2">
        <w:t>October 2021).</w:t>
      </w:r>
    </w:p>
    <w:p w14:paraId="20CC47AA" w14:textId="77777777" w:rsidR="00EF27EC" w:rsidRPr="00C000B2" w:rsidRDefault="00EF27EC" w:rsidP="00043D21">
      <w:pPr>
        <w:pStyle w:val="References"/>
      </w:pPr>
      <w:r w:rsidRPr="00C000B2">
        <w:t xml:space="preserve">Edwards R, Carter K, Peace J, et al. 2013. An examination of smoking initiation rates by age: results from a large longitudinal study in New Zealand. </w:t>
      </w:r>
      <w:r w:rsidRPr="00C000B2">
        <w:rPr>
          <w:i/>
        </w:rPr>
        <w:t>Australian and New</w:t>
      </w:r>
      <w:r w:rsidR="00105238">
        <w:rPr>
          <w:i/>
        </w:rPr>
        <w:t> </w:t>
      </w:r>
      <w:r w:rsidRPr="00C000B2">
        <w:rPr>
          <w:i/>
        </w:rPr>
        <w:t xml:space="preserve">Zealand Journal of Public Health </w:t>
      </w:r>
      <w:r w:rsidRPr="00C000B2">
        <w:t>37(6): 516–9.</w:t>
      </w:r>
    </w:p>
    <w:p w14:paraId="57E6177A" w14:textId="77777777" w:rsidR="00EF27EC" w:rsidRPr="00C000B2" w:rsidRDefault="00EF27EC" w:rsidP="00043D21">
      <w:pPr>
        <w:pStyle w:val="References"/>
      </w:pPr>
      <w:r w:rsidRPr="00C000B2">
        <w:t xml:space="preserve">Terry-McElrath YM, O’Malley PM. 2015. Trends and timing of cigarette smoking uptake among US young adults: survival analysis using annual national cohorts from 1976 to 2005. </w:t>
      </w:r>
      <w:r w:rsidRPr="00C000B2">
        <w:rPr>
          <w:i/>
        </w:rPr>
        <w:t xml:space="preserve">Addiction </w:t>
      </w:r>
      <w:r w:rsidRPr="00C000B2">
        <w:t>110(7): 1171–81.</w:t>
      </w:r>
    </w:p>
    <w:p w14:paraId="311F918B" w14:textId="77777777" w:rsidR="00EF27EC" w:rsidRPr="00C000B2" w:rsidRDefault="00EF27EC" w:rsidP="00043D21">
      <w:pPr>
        <w:pStyle w:val="References"/>
      </w:pPr>
      <w:proofErr w:type="spellStart"/>
      <w:r w:rsidRPr="00C000B2">
        <w:t>Heris</w:t>
      </w:r>
      <w:proofErr w:type="spellEnd"/>
      <w:r w:rsidRPr="00C000B2">
        <w:t xml:space="preserve"> CL, Chamberlain C, </w:t>
      </w:r>
      <w:proofErr w:type="spellStart"/>
      <w:r w:rsidRPr="00C000B2">
        <w:t>Gubhaju</w:t>
      </w:r>
      <w:proofErr w:type="spellEnd"/>
      <w:r w:rsidRPr="00C000B2">
        <w:t xml:space="preserve"> L, et al. 2020. Factors influencing smoking among indigenous adolescents aged 10–24 years living in Australia, New Zealand, Canada, and the United States: a systematic review. </w:t>
      </w:r>
      <w:r w:rsidRPr="00C000B2">
        <w:rPr>
          <w:i/>
        </w:rPr>
        <w:t xml:space="preserve">Nicotine &amp; Tobacco Research </w:t>
      </w:r>
      <w:r w:rsidRPr="00C000B2">
        <w:t>22(11): 1946–56.</w:t>
      </w:r>
    </w:p>
    <w:p w14:paraId="231F3C64" w14:textId="77777777" w:rsidR="00EF27EC" w:rsidRPr="00C000B2" w:rsidRDefault="00EF27EC" w:rsidP="00043D21">
      <w:pPr>
        <w:pStyle w:val="References"/>
      </w:pPr>
      <w:r w:rsidRPr="00C000B2">
        <w:t xml:space="preserve">Edwards R. 2020. Has the time come to focus on (young adult) smoking uptake prevention? </w:t>
      </w:r>
      <w:r w:rsidRPr="00C000B2">
        <w:rPr>
          <w:i/>
        </w:rPr>
        <w:t>Nicotine &amp; Tobacco Research</w:t>
      </w:r>
      <w:r w:rsidRPr="00C000B2">
        <w:t>. 22(7): 1061–2.</w:t>
      </w:r>
    </w:p>
    <w:p w14:paraId="005C9954" w14:textId="77777777" w:rsidR="00EF27EC" w:rsidRPr="00C000B2" w:rsidRDefault="00EF27EC" w:rsidP="00043D21">
      <w:pPr>
        <w:pStyle w:val="References"/>
      </w:pPr>
      <w:r w:rsidRPr="00C000B2">
        <w:t xml:space="preserve">Ball J, </w:t>
      </w:r>
      <w:proofErr w:type="spellStart"/>
      <w:r w:rsidRPr="00C000B2">
        <w:t>Berrick</w:t>
      </w:r>
      <w:proofErr w:type="spellEnd"/>
      <w:r w:rsidRPr="00C000B2">
        <w:t xml:space="preserve"> J, Edwards R, et al. 2021. Phasing out smoking: the </w:t>
      </w:r>
      <w:r w:rsidR="00105238">
        <w:t>t</w:t>
      </w:r>
      <w:r w:rsidRPr="00C000B2">
        <w:t>obacco-</w:t>
      </w:r>
      <w:r w:rsidR="00105238">
        <w:t>f</w:t>
      </w:r>
      <w:r w:rsidRPr="00C000B2">
        <w:t xml:space="preserve">ree </w:t>
      </w:r>
      <w:r w:rsidR="00105238">
        <w:t>g</w:t>
      </w:r>
      <w:r w:rsidRPr="00C000B2">
        <w:t xml:space="preserve">eneration policy. </w:t>
      </w:r>
      <w:r w:rsidRPr="00C000B2">
        <w:rPr>
          <w:i/>
        </w:rPr>
        <w:t xml:space="preserve">Public Health Expert </w:t>
      </w:r>
      <w:r w:rsidRPr="00C000B2">
        <w:t xml:space="preserve">31 August. URL: </w:t>
      </w:r>
      <w:hyperlink r:id="rId103" w:history="1">
        <w:r w:rsidR="00105238" w:rsidRPr="00105238">
          <w:rPr>
            <w:rStyle w:val="Hyperlink"/>
          </w:rPr>
          <w:t>https://blogs.otago.ac.nz/pubhealthexpert/phasing-out-smoking-the-tobacco-free-generation-policy/</w:t>
        </w:r>
      </w:hyperlink>
      <w:r w:rsidRPr="00C000B2">
        <w:t xml:space="preserve"> (accessed 27 October 2021).</w:t>
      </w:r>
    </w:p>
    <w:p w14:paraId="7B72EC8D" w14:textId="77777777" w:rsidR="00EF27EC" w:rsidRPr="00C000B2" w:rsidRDefault="00EF27EC" w:rsidP="00043D21">
      <w:pPr>
        <w:pStyle w:val="References"/>
      </w:pPr>
      <w:r w:rsidRPr="00C000B2">
        <w:t xml:space="preserve">WHO. </w:t>
      </w:r>
      <w:proofErr w:type="spellStart"/>
      <w:r w:rsidRPr="00C000B2">
        <w:t>nd</w:t>
      </w:r>
      <w:proofErr w:type="spellEnd"/>
      <w:r w:rsidRPr="00C000B2">
        <w:t xml:space="preserve">. Philippines: Balanga City. World Health Organization. URL: </w:t>
      </w:r>
      <w:hyperlink r:id="rId104" w:history="1">
        <w:r w:rsidR="00105238" w:rsidRPr="00105238">
          <w:rPr>
            <w:rStyle w:val="Hyperlink"/>
          </w:rPr>
          <w:t>https://www.who.int/ncds/publications/Balanga-Case-Study-final.pdf</w:t>
        </w:r>
      </w:hyperlink>
      <w:r w:rsidRPr="00C000B2">
        <w:t xml:space="preserve"> (accessed 26</w:t>
      </w:r>
      <w:r w:rsidR="00105238">
        <w:t> </w:t>
      </w:r>
      <w:r w:rsidRPr="00C000B2">
        <w:t>October 2021).</w:t>
      </w:r>
    </w:p>
    <w:p w14:paraId="02E9D08B" w14:textId="77777777" w:rsidR="00EF27EC" w:rsidRPr="00C000B2" w:rsidRDefault="00EF27EC" w:rsidP="00043D21">
      <w:pPr>
        <w:pStyle w:val="References"/>
      </w:pPr>
      <w:proofErr w:type="spellStart"/>
      <w:r w:rsidRPr="00C000B2">
        <w:t>Brillinger</w:t>
      </w:r>
      <w:proofErr w:type="spellEnd"/>
      <w:r w:rsidRPr="00C000B2">
        <w:t xml:space="preserve"> J, Marsh L, Hoek J. 2020. Bar atmospherics and smoking: a qualitative analysis of New Zealand young adult smokers. </w:t>
      </w:r>
      <w:r w:rsidRPr="00C000B2">
        <w:rPr>
          <w:i/>
        </w:rPr>
        <w:t xml:space="preserve">Nicotine &amp; Tobacco Research </w:t>
      </w:r>
      <w:r w:rsidRPr="00C000B2">
        <w:t>23(4):</w:t>
      </w:r>
      <w:r w:rsidR="00105238">
        <w:t> </w:t>
      </w:r>
      <w:r w:rsidRPr="00C000B2">
        <w:t>724–31.</w:t>
      </w:r>
    </w:p>
    <w:p w14:paraId="5EF214F9" w14:textId="77777777" w:rsidR="00EF27EC" w:rsidRPr="00C000B2" w:rsidRDefault="00EF27EC" w:rsidP="00043D21">
      <w:pPr>
        <w:pStyle w:val="References"/>
      </w:pPr>
      <w:r w:rsidRPr="00C000B2">
        <w:t xml:space="preserve">Jiang N, Ling PM. 2011. Reinforcement of smoking and drinking: tobacco marketing strategies linked with alcohol in the United States. </w:t>
      </w:r>
      <w:r w:rsidRPr="00C000B2">
        <w:rPr>
          <w:i/>
        </w:rPr>
        <w:t xml:space="preserve">American Journal of Public Health </w:t>
      </w:r>
      <w:r w:rsidRPr="00C000B2">
        <w:t>101(10): 1942–54.</w:t>
      </w:r>
    </w:p>
    <w:p w14:paraId="081B824F" w14:textId="77777777" w:rsidR="00EF27EC" w:rsidRPr="00C000B2" w:rsidRDefault="00EF27EC" w:rsidP="00043D21">
      <w:pPr>
        <w:pStyle w:val="References"/>
      </w:pPr>
      <w:r w:rsidRPr="00C000B2">
        <w:t xml:space="preserve">Thomson G, Wilson N. 2021. </w:t>
      </w:r>
      <w:proofErr w:type="spellStart"/>
      <w:r w:rsidRPr="00C000B2">
        <w:t>Smokefree</w:t>
      </w:r>
      <w:proofErr w:type="spellEnd"/>
      <w:r w:rsidRPr="00C000B2">
        <w:t xml:space="preserve"> outdoor areas: a missing part of Government’s new </w:t>
      </w:r>
      <w:proofErr w:type="spellStart"/>
      <w:r w:rsidRPr="00C000B2">
        <w:t>Smokefree</w:t>
      </w:r>
      <w:proofErr w:type="spellEnd"/>
      <w:r w:rsidRPr="00C000B2">
        <w:t xml:space="preserve"> 2025 proposals. </w:t>
      </w:r>
      <w:r w:rsidRPr="00105238">
        <w:rPr>
          <w:i/>
        </w:rPr>
        <w:t xml:space="preserve">Public Health Expert </w:t>
      </w:r>
      <w:r w:rsidRPr="00C000B2">
        <w:t xml:space="preserve">22 April. URL: </w:t>
      </w:r>
      <w:hyperlink r:id="rId105" w:history="1">
        <w:r w:rsidR="00105238" w:rsidRPr="00105238">
          <w:rPr>
            <w:rStyle w:val="Hyperlink"/>
          </w:rPr>
          <w:t>https://blogs.otago.ac.nz/pubhealthexpert/smokefree-outdoor-areas-a-missing-part-of-governments-new-smokefree-2025-proposals/</w:t>
        </w:r>
      </w:hyperlink>
      <w:r w:rsidRPr="00C000B2">
        <w:t xml:space="preserve"> (accessed 30 October 2021).</w:t>
      </w:r>
    </w:p>
    <w:p w14:paraId="2262BFC2" w14:textId="77777777" w:rsidR="00EF27EC" w:rsidRPr="00C000B2" w:rsidRDefault="00EF27EC" w:rsidP="00043D21">
      <w:pPr>
        <w:pStyle w:val="References"/>
      </w:pPr>
      <w:r w:rsidRPr="00C000B2">
        <w:lastRenderedPageBreak/>
        <w:t>Grace C, Smith L. 2019. Legislation to ban smoking in public spaces. In EM</w:t>
      </w:r>
      <w:r w:rsidR="00105238">
        <w:t> </w:t>
      </w:r>
      <w:r w:rsidRPr="00C000B2">
        <w:t xml:space="preserve">Greenhalgh, MM </w:t>
      </w:r>
      <w:proofErr w:type="spellStart"/>
      <w:r w:rsidRPr="00C000B2">
        <w:t>Scollo</w:t>
      </w:r>
      <w:proofErr w:type="spellEnd"/>
      <w:r w:rsidRPr="00C000B2">
        <w:t xml:space="preserve"> and MH Winstanley (eds) </w:t>
      </w:r>
      <w:r w:rsidRPr="00C000B2">
        <w:rPr>
          <w:i/>
        </w:rPr>
        <w:t>Tobacco in Australia: Facts and issues</w:t>
      </w:r>
      <w:r w:rsidRPr="00C000B2">
        <w:t>. Melbourne: Cancer Council Victoria.</w:t>
      </w:r>
    </w:p>
    <w:p w14:paraId="41632BA6" w14:textId="77777777" w:rsidR="00EF27EC" w:rsidRPr="00C000B2" w:rsidRDefault="00EF27EC" w:rsidP="00043D21">
      <w:pPr>
        <w:pStyle w:val="References"/>
      </w:pPr>
      <w:r w:rsidRPr="00C000B2">
        <w:t xml:space="preserve">Wyllie A. 2013. </w:t>
      </w:r>
      <w:r w:rsidRPr="00C000B2">
        <w:rPr>
          <w:i/>
        </w:rPr>
        <w:t xml:space="preserve">Public Support for Tobacco Control Policies in the Auckland Council region </w:t>
      </w:r>
      <w:r w:rsidRPr="00C000B2">
        <w:t>[full version]. Report prepared for Cancer Society Auckland Division. Auckland: Wyllie &amp; Associates.</w:t>
      </w:r>
    </w:p>
    <w:p w14:paraId="148E65A9" w14:textId="77777777" w:rsidR="00EF27EC" w:rsidRPr="00C000B2" w:rsidRDefault="00EF27EC" w:rsidP="00043D21">
      <w:pPr>
        <w:pStyle w:val="References"/>
      </w:pPr>
      <w:r w:rsidRPr="00C000B2">
        <w:t xml:space="preserve">Auckland Council. 2021. Kaupapa Here </w:t>
      </w:r>
      <w:proofErr w:type="spellStart"/>
      <w:r w:rsidRPr="00C000B2">
        <w:t>Auahi</w:t>
      </w:r>
      <w:proofErr w:type="spellEnd"/>
      <w:r w:rsidRPr="00C000B2">
        <w:t xml:space="preserve"> Kore. </w:t>
      </w:r>
      <w:proofErr w:type="spellStart"/>
      <w:r w:rsidRPr="00C000B2">
        <w:t>Smokefree</w:t>
      </w:r>
      <w:proofErr w:type="spellEnd"/>
      <w:r w:rsidRPr="00C000B2">
        <w:t xml:space="preserve"> Policy. UR</w:t>
      </w:r>
      <w:r w:rsidR="00105238">
        <w:t xml:space="preserve">L: </w:t>
      </w:r>
      <w:hyperlink r:id="rId106" w:history="1">
        <w:r w:rsidR="00105238" w:rsidRPr="00105238">
          <w:rPr>
            <w:rStyle w:val="Hyperlink"/>
          </w:rPr>
          <w:t>https://www.aucklandcouncil.govt.nz/plans-projects-policies-reports-bylaws/our-policies/Pages/smokefree-policy.aspx</w:t>
        </w:r>
      </w:hyperlink>
      <w:r w:rsidRPr="00C000B2">
        <w:t xml:space="preserve"> (accessed 27 October 2021).</w:t>
      </w:r>
    </w:p>
    <w:p w14:paraId="35DEBC84" w14:textId="77777777" w:rsidR="00EF27EC" w:rsidRPr="00C000B2" w:rsidRDefault="00EF27EC" w:rsidP="00043D21">
      <w:pPr>
        <w:pStyle w:val="References"/>
      </w:pPr>
      <w:r w:rsidRPr="00C000B2">
        <w:t xml:space="preserve">Palmerston North City Council. 2020. </w:t>
      </w:r>
      <w:proofErr w:type="spellStart"/>
      <w:r w:rsidRPr="00C000B2">
        <w:rPr>
          <w:i/>
        </w:rPr>
        <w:t>Auahi</w:t>
      </w:r>
      <w:proofErr w:type="spellEnd"/>
      <w:r w:rsidRPr="00C000B2">
        <w:rPr>
          <w:i/>
        </w:rPr>
        <w:t xml:space="preserve"> Kore </w:t>
      </w:r>
      <w:proofErr w:type="spellStart"/>
      <w:r w:rsidRPr="00C000B2">
        <w:rPr>
          <w:i/>
        </w:rPr>
        <w:t>Smokefree</w:t>
      </w:r>
      <w:proofErr w:type="spellEnd"/>
      <w:r w:rsidRPr="00C000B2">
        <w:rPr>
          <w:i/>
        </w:rPr>
        <w:t xml:space="preserve"> and </w:t>
      </w:r>
      <w:proofErr w:type="spellStart"/>
      <w:r w:rsidRPr="00C000B2">
        <w:rPr>
          <w:i/>
        </w:rPr>
        <w:t>Vapefree</w:t>
      </w:r>
      <w:proofErr w:type="spellEnd"/>
      <w:r w:rsidRPr="00C000B2">
        <w:rPr>
          <w:i/>
        </w:rPr>
        <w:t xml:space="preserve"> Policy</w:t>
      </w:r>
      <w:r w:rsidRPr="00C000B2">
        <w:t xml:space="preserve">. Palmerston North City Council. URL: </w:t>
      </w:r>
      <w:hyperlink r:id="rId107" w:history="1">
        <w:r w:rsidR="00105238" w:rsidRPr="00105238">
          <w:rPr>
            <w:rStyle w:val="Hyperlink"/>
          </w:rPr>
          <w:t>https://www.pncc.govt.nz/council-city/official-documents/policies/auahi-kore-smokefree-and-vapefree-policy/</w:t>
        </w:r>
      </w:hyperlink>
      <w:r w:rsidRPr="00C000B2">
        <w:t xml:space="preserve"> (accessed 30 October 2021).</w:t>
      </w:r>
    </w:p>
    <w:p w14:paraId="3CF2EFAA" w14:textId="77777777" w:rsidR="00EF27EC" w:rsidRPr="00C000B2" w:rsidRDefault="00EF27EC" w:rsidP="00043D21">
      <w:pPr>
        <w:pStyle w:val="References"/>
      </w:pPr>
      <w:r w:rsidRPr="00C000B2">
        <w:t xml:space="preserve">Christchurch City Council. 2020. </w:t>
      </w:r>
      <w:proofErr w:type="spellStart"/>
      <w:r w:rsidRPr="00C000B2">
        <w:t>Smokefree</w:t>
      </w:r>
      <w:proofErr w:type="spellEnd"/>
      <w:r w:rsidRPr="00C000B2">
        <w:t xml:space="preserve"> and </w:t>
      </w:r>
      <w:proofErr w:type="spellStart"/>
      <w:r w:rsidRPr="00C000B2">
        <w:t>Vapefree</w:t>
      </w:r>
      <w:proofErr w:type="spellEnd"/>
      <w:r w:rsidRPr="00C000B2">
        <w:t xml:space="preserve"> Public Places Policy. URL: </w:t>
      </w:r>
      <w:hyperlink r:id="rId108" w:history="1">
        <w:r w:rsidR="001077EA" w:rsidRPr="001077EA">
          <w:rPr>
            <w:rStyle w:val="Hyperlink"/>
          </w:rPr>
          <w:t>https://www.ccc.govt.nz/the-council/plans-strategies-policies-and-bylaws/policies/health-policies/smokefree-public-places-policy/</w:t>
        </w:r>
      </w:hyperlink>
      <w:r w:rsidRPr="00C000B2">
        <w:t xml:space="preserve"> (accessed 26</w:t>
      </w:r>
      <w:r w:rsidR="001077EA">
        <w:t> </w:t>
      </w:r>
      <w:r w:rsidRPr="00C000B2">
        <w:t>October 2021).</w:t>
      </w:r>
    </w:p>
    <w:p w14:paraId="4EE1332F" w14:textId="77777777" w:rsidR="00EF27EC" w:rsidRPr="00C000B2" w:rsidRDefault="00EF27EC" w:rsidP="00043D21">
      <w:pPr>
        <w:pStyle w:val="References"/>
      </w:pPr>
      <w:r w:rsidRPr="00C000B2">
        <w:t xml:space="preserve">Thomson G, Wilson N. 2017. Local and regional </w:t>
      </w:r>
      <w:proofErr w:type="spellStart"/>
      <w:r w:rsidRPr="00C000B2">
        <w:t>smokefree</w:t>
      </w:r>
      <w:proofErr w:type="spellEnd"/>
      <w:r w:rsidRPr="00C000B2">
        <w:t xml:space="preserve"> and tobacco-free action in New Zealand: highlights and directions. </w:t>
      </w:r>
      <w:r w:rsidRPr="00C000B2">
        <w:rPr>
          <w:i/>
        </w:rPr>
        <w:t xml:space="preserve">New Zealand Medical Journal </w:t>
      </w:r>
      <w:r w:rsidRPr="00C000B2">
        <w:t>130(1462):</w:t>
      </w:r>
      <w:r w:rsidR="001077EA">
        <w:t> </w:t>
      </w:r>
      <w:r w:rsidRPr="00C000B2">
        <w:t>89.</w:t>
      </w:r>
    </w:p>
    <w:p w14:paraId="30757787" w14:textId="77777777" w:rsidR="00EF27EC" w:rsidRPr="00C000B2" w:rsidRDefault="00EF27EC" w:rsidP="00043D21">
      <w:pPr>
        <w:pStyle w:val="References"/>
      </w:pPr>
      <w:r w:rsidRPr="00C000B2">
        <w:t xml:space="preserve">Wellington City Council. </w:t>
      </w:r>
      <w:proofErr w:type="spellStart"/>
      <w:r w:rsidRPr="00C000B2">
        <w:t>nd</w:t>
      </w:r>
      <w:proofErr w:type="spellEnd"/>
      <w:r w:rsidRPr="00C000B2">
        <w:t xml:space="preserve">. </w:t>
      </w:r>
      <w:proofErr w:type="spellStart"/>
      <w:r w:rsidRPr="00C000B2">
        <w:t>Smokefree</w:t>
      </w:r>
      <w:proofErr w:type="spellEnd"/>
      <w:r w:rsidRPr="00C000B2">
        <w:t xml:space="preserve"> Wellington Action Plan. </w:t>
      </w:r>
      <w:r w:rsidRPr="00C000B2">
        <w:rPr>
          <w:i/>
        </w:rPr>
        <w:t xml:space="preserve">‘Kia </w:t>
      </w:r>
      <w:proofErr w:type="spellStart"/>
      <w:r w:rsidRPr="00C000B2">
        <w:rPr>
          <w:i/>
        </w:rPr>
        <w:t>wātea</w:t>
      </w:r>
      <w:proofErr w:type="spellEnd"/>
      <w:r w:rsidRPr="00C000B2">
        <w:rPr>
          <w:i/>
        </w:rPr>
        <w:t xml:space="preserve"> </w:t>
      </w:r>
      <w:proofErr w:type="spellStart"/>
      <w:r w:rsidRPr="00C000B2">
        <w:rPr>
          <w:i/>
        </w:rPr>
        <w:t>te</w:t>
      </w:r>
      <w:proofErr w:type="spellEnd"/>
      <w:r w:rsidRPr="00C000B2">
        <w:rPr>
          <w:i/>
        </w:rPr>
        <w:t xml:space="preserve"> </w:t>
      </w:r>
      <w:proofErr w:type="spellStart"/>
      <w:r w:rsidRPr="00C000B2">
        <w:rPr>
          <w:i/>
        </w:rPr>
        <w:t>ātea</w:t>
      </w:r>
      <w:proofErr w:type="spellEnd"/>
      <w:r w:rsidRPr="00C000B2">
        <w:rPr>
          <w:i/>
        </w:rPr>
        <w:t xml:space="preserve">’ – me </w:t>
      </w:r>
      <w:proofErr w:type="spellStart"/>
      <w:r w:rsidRPr="00C000B2">
        <w:rPr>
          <w:i/>
        </w:rPr>
        <w:t>auahi</w:t>
      </w:r>
      <w:proofErr w:type="spellEnd"/>
      <w:r w:rsidRPr="00C000B2">
        <w:rPr>
          <w:i/>
        </w:rPr>
        <w:t xml:space="preserve"> kore a </w:t>
      </w:r>
      <w:proofErr w:type="spellStart"/>
      <w:r w:rsidRPr="00C000B2">
        <w:rPr>
          <w:i/>
        </w:rPr>
        <w:t>Pōneke</w:t>
      </w:r>
      <w:proofErr w:type="spellEnd"/>
      <w:r w:rsidRPr="00C000B2">
        <w:t xml:space="preserve">. Wellington: Wellington City Council. URL: </w:t>
      </w:r>
      <w:hyperlink r:id="rId109" w:history="1">
        <w:r w:rsidR="001077EA" w:rsidRPr="001077EA">
          <w:rPr>
            <w:rStyle w:val="Hyperlink"/>
          </w:rPr>
          <w:t>https://wellington.govt.nz/~/media/your-council/plans-policies-and-bylaws/plans-and-policies/a-to-z/smokefree-wellington-action-plan/smokefree-wellington-action-plan-web.pdf</w:t>
        </w:r>
      </w:hyperlink>
      <w:r w:rsidRPr="00C000B2">
        <w:t xml:space="preserve"> (accessed 30 October 2021).</w:t>
      </w:r>
    </w:p>
    <w:p w14:paraId="25774DA3" w14:textId="77777777" w:rsidR="00EF27EC" w:rsidRPr="00C000B2" w:rsidRDefault="00EF27EC" w:rsidP="00043D21">
      <w:pPr>
        <w:pStyle w:val="References"/>
      </w:pPr>
      <w:r w:rsidRPr="00C000B2">
        <w:t xml:space="preserve">Truth Initiative. 2019. </w:t>
      </w:r>
      <w:r w:rsidRPr="00C000B2">
        <w:rPr>
          <w:i/>
        </w:rPr>
        <w:t>While You Were Streaming: Smoking on demand</w:t>
      </w:r>
      <w:r w:rsidRPr="00C000B2">
        <w:t>. Washington, DC: Truth Initiative.</w:t>
      </w:r>
    </w:p>
    <w:p w14:paraId="6CEA26A7" w14:textId="77777777" w:rsidR="00EF27EC" w:rsidRPr="00C000B2" w:rsidRDefault="00EF27EC" w:rsidP="00043D21">
      <w:pPr>
        <w:pStyle w:val="References"/>
      </w:pPr>
      <w:r w:rsidRPr="00C000B2">
        <w:t>Eagle L, Dahl S. 2018. Product placement in old and new media: examining the evidence for concern.</w:t>
      </w:r>
      <w:r w:rsidR="001077EA">
        <w:t xml:space="preserve"> </w:t>
      </w:r>
      <w:r w:rsidRPr="001077EA">
        <w:rPr>
          <w:i/>
        </w:rPr>
        <w:t xml:space="preserve">Journal of Business Ethics </w:t>
      </w:r>
      <w:r w:rsidRPr="00C000B2">
        <w:t>147(3): 605–18.</w:t>
      </w:r>
    </w:p>
    <w:p w14:paraId="6DD9B699" w14:textId="77777777" w:rsidR="00EF27EC" w:rsidRPr="00C000B2" w:rsidRDefault="00EF27EC" w:rsidP="00043D21">
      <w:pPr>
        <w:pStyle w:val="References"/>
      </w:pPr>
      <w:r w:rsidRPr="00C000B2">
        <w:t xml:space="preserve">Rath JM, Bennett M, Vallone D, et al. 2020. Content analysis of tobacco in episodic programming popular among youth and young adults. </w:t>
      </w:r>
      <w:r w:rsidRPr="00C000B2">
        <w:rPr>
          <w:i/>
        </w:rPr>
        <w:t xml:space="preserve">Tobacco Control </w:t>
      </w:r>
      <w:r w:rsidRPr="00C000B2">
        <w:t>29(4):</w:t>
      </w:r>
      <w:r w:rsidR="001077EA">
        <w:br/>
      </w:r>
      <w:r w:rsidRPr="00C000B2">
        <w:t>475–9.</w:t>
      </w:r>
    </w:p>
    <w:p w14:paraId="543EF501" w14:textId="77777777" w:rsidR="00EF27EC" w:rsidRPr="00C000B2" w:rsidRDefault="00EF27EC" w:rsidP="00043D21">
      <w:pPr>
        <w:pStyle w:val="References"/>
      </w:pPr>
      <w:proofErr w:type="spellStart"/>
      <w:r w:rsidRPr="00C000B2">
        <w:t>Centers</w:t>
      </w:r>
      <w:proofErr w:type="spellEnd"/>
      <w:r w:rsidRPr="00C000B2">
        <w:t xml:space="preserve"> for Disease Control. 2020. Smoking and tobacco use fact sheet: smoking in movies. URL: </w:t>
      </w:r>
      <w:hyperlink r:id="rId110" w:anchor="additional-2019-findings" w:history="1">
        <w:r w:rsidR="001077EA" w:rsidRPr="001077EA">
          <w:rPr>
            <w:rStyle w:val="Hyperlink"/>
          </w:rPr>
          <w:t>https://www.cdc.gov/tobacco/data_statistics/fact_sheets/youth_data/movies/index.htm#additional-2019-findings</w:t>
        </w:r>
      </w:hyperlink>
      <w:r w:rsidRPr="00C000B2">
        <w:t xml:space="preserve"> (accessed 26 October 2021).</w:t>
      </w:r>
    </w:p>
    <w:p w14:paraId="0E4A1716" w14:textId="77777777" w:rsidR="00EF27EC" w:rsidRPr="00C000B2" w:rsidRDefault="00EF27EC" w:rsidP="00043D21">
      <w:pPr>
        <w:pStyle w:val="References"/>
      </w:pPr>
      <w:r w:rsidRPr="00C000B2">
        <w:t xml:space="preserve">Tynan M, Polansky JR, Driscoll D, et al. 2019. Tobacco use in top-grossing movies – United States, 2010–2018. </w:t>
      </w:r>
      <w:r w:rsidRPr="00C000B2">
        <w:rPr>
          <w:i/>
        </w:rPr>
        <w:t xml:space="preserve">Morbidity and Mortality Weekly Report </w:t>
      </w:r>
      <w:r w:rsidRPr="00C000B2">
        <w:t xml:space="preserve">6843. URL: </w:t>
      </w:r>
      <w:hyperlink r:id="rId111" w:history="1">
        <w:r w:rsidR="001077EA" w:rsidRPr="001077EA">
          <w:rPr>
            <w:rStyle w:val="Hyperlink"/>
          </w:rPr>
          <w:t>https://www.cdc.gov/mmwr/volumes/68/wr/mm6843a4.htm?s_cid=mm6843a4_w</w:t>
        </w:r>
      </w:hyperlink>
      <w:r w:rsidRPr="00C000B2">
        <w:t xml:space="preserve"> (accessed 30 October 2021).</w:t>
      </w:r>
    </w:p>
    <w:p w14:paraId="4B6453CD" w14:textId="77777777" w:rsidR="00EF27EC" w:rsidRPr="00C000B2" w:rsidRDefault="00EF27EC" w:rsidP="001077EA">
      <w:pPr>
        <w:pStyle w:val="References"/>
        <w:keepNext/>
        <w:keepLines/>
      </w:pPr>
      <w:r w:rsidRPr="00C000B2">
        <w:lastRenderedPageBreak/>
        <w:t xml:space="preserve">Lucas N, Graham N. 2020. </w:t>
      </w:r>
      <w:r w:rsidRPr="00C000B2">
        <w:rPr>
          <w:i/>
        </w:rPr>
        <w:t>Susceptibility to Smoking among 14 and 15-year-olds: Results from the 2018 Youth Insights Survey</w:t>
      </w:r>
      <w:r w:rsidRPr="00C000B2">
        <w:t xml:space="preserve">. Wellington: Te Hiringa Hauora | Health Promotion Agency. URL: </w:t>
      </w:r>
      <w:hyperlink r:id="rId112" w:history="1">
        <w:r w:rsidR="001077EA" w:rsidRPr="001077EA">
          <w:rPr>
            <w:rStyle w:val="Hyperlink"/>
          </w:rPr>
          <w:t>https://www.hpa.org.nz/research-library/research-publications/susceptibility-to-smoking-among-14-and-15-year-olds</w:t>
        </w:r>
      </w:hyperlink>
      <w:r w:rsidRPr="00C000B2">
        <w:t xml:space="preserve"> (accessed 29 October 2021).</w:t>
      </w:r>
    </w:p>
    <w:p w14:paraId="62EFAAC6" w14:textId="77777777" w:rsidR="00EF27EC" w:rsidRPr="00C000B2" w:rsidRDefault="00EF27EC" w:rsidP="00043D21">
      <w:pPr>
        <w:pStyle w:val="References"/>
      </w:pPr>
      <w:r w:rsidRPr="00C000B2">
        <w:t xml:space="preserve">Marsh L, McGee R, Robertson L, et al. 2016. Little change in tobacco imagery on New Zealand television: 10 years on. </w:t>
      </w:r>
      <w:r w:rsidRPr="00C000B2">
        <w:rPr>
          <w:i/>
        </w:rPr>
        <w:t xml:space="preserve">Australian and New Zealand Journal of Public Health </w:t>
      </w:r>
      <w:r w:rsidRPr="00C000B2">
        <w:t>40(3): 218–20.</w:t>
      </w:r>
    </w:p>
    <w:p w14:paraId="1F775CD3" w14:textId="77777777" w:rsidR="00EF27EC" w:rsidRPr="00C000B2" w:rsidRDefault="00EF27EC" w:rsidP="00043D21">
      <w:pPr>
        <w:pStyle w:val="References"/>
      </w:pPr>
      <w:proofErr w:type="spellStart"/>
      <w:r w:rsidRPr="00C000B2">
        <w:t>Chaiton</w:t>
      </w:r>
      <w:proofErr w:type="spellEnd"/>
      <w:r w:rsidRPr="00C000B2">
        <w:t xml:space="preserve"> M, </w:t>
      </w:r>
      <w:proofErr w:type="spellStart"/>
      <w:r w:rsidRPr="00C000B2">
        <w:t>Diemert</w:t>
      </w:r>
      <w:proofErr w:type="spellEnd"/>
      <w:r w:rsidRPr="00C000B2">
        <w:t xml:space="preserve"> L, Zhang B, et al. 2016. Exposure to smoking on patios and quitting: a population representative longitudinal cohort study. </w:t>
      </w:r>
      <w:r w:rsidRPr="00C000B2">
        <w:rPr>
          <w:i/>
        </w:rPr>
        <w:t xml:space="preserve">Tobacco Control </w:t>
      </w:r>
      <w:r w:rsidRPr="00C000B2">
        <w:t>25(1):</w:t>
      </w:r>
      <w:r w:rsidR="001077EA">
        <w:t> </w:t>
      </w:r>
      <w:r w:rsidRPr="00C000B2">
        <w:t>83–8.</w:t>
      </w:r>
    </w:p>
    <w:p w14:paraId="4130DDE6" w14:textId="77777777" w:rsidR="00EF27EC" w:rsidRPr="00C000B2" w:rsidRDefault="00EF27EC" w:rsidP="00043D21">
      <w:pPr>
        <w:pStyle w:val="References"/>
      </w:pPr>
      <w:r w:rsidRPr="00C000B2">
        <w:t xml:space="preserve">Ivory V, Blakely T, Richardson K, et al. 2015. Do changes in </w:t>
      </w:r>
      <w:proofErr w:type="spellStart"/>
      <w:r w:rsidRPr="00C000B2">
        <w:t>neighborhood</w:t>
      </w:r>
      <w:proofErr w:type="spellEnd"/>
      <w:r w:rsidRPr="00C000B2">
        <w:t xml:space="preserve"> and household levels of smoking and deprivation result in changes in individual smoking </w:t>
      </w:r>
      <w:proofErr w:type="spellStart"/>
      <w:r w:rsidRPr="00C000B2">
        <w:t>behavior</w:t>
      </w:r>
      <w:proofErr w:type="spellEnd"/>
      <w:r w:rsidRPr="00C000B2">
        <w:t xml:space="preserve">? A large-scale longitudinal study of New Zealand adults. </w:t>
      </w:r>
      <w:r w:rsidRPr="00C000B2">
        <w:rPr>
          <w:i/>
        </w:rPr>
        <w:t xml:space="preserve">American Journal of Epidemiology </w:t>
      </w:r>
      <w:r w:rsidRPr="00C000B2">
        <w:t>182(5): 431–440.</w:t>
      </w:r>
    </w:p>
    <w:p w14:paraId="0ABD92D4" w14:textId="77777777" w:rsidR="00EF27EC" w:rsidRPr="00C000B2" w:rsidRDefault="00EF27EC" w:rsidP="00043D21">
      <w:pPr>
        <w:pStyle w:val="References"/>
      </w:pPr>
      <w:proofErr w:type="spellStart"/>
      <w:r w:rsidRPr="00C000B2">
        <w:t>Zablocki</w:t>
      </w:r>
      <w:proofErr w:type="spellEnd"/>
      <w:r w:rsidRPr="00C000B2">
        <w:t xml:space="preserve"> R, </w:t>
      </w:r>
      <w:proofErr w:type="spellStart"/>
      <w:r w:rsidRPr="00C000B2">
        <w:t>Edland</w:t>
      </w:r>
      <w:proofErr w:type="spellEnd"/>
      <w:r w:rsidRPr="00C000B2">
        <w:t xml:space="preserve"> S, Myers M, et al. 2014. Smoking ban policies and their influence on smoking </w:t>
      </w:r>
      <w:proofErr w:type="spellStart"/>
      <w:r w:rsidRPr="00C000B2">
        <w:t>behaviors</w:t>
      </w:r>
      <w:proofErr w:type="spellEnd"/>
      <w:r w:rsidRPr="00C000B2">
        <w:t xml:space="preserve"> among current California smokers: a population-based study. </w:t>
      </w:r>
      <w:r w:rsidRPr="00C000B2">
        <w:rPr>
          <w:i/>
        </w:rPr>
        <w:t>Preventive Medicin</w:t>
      </w:r>
      <w:r w:rsidRPr="00C000B2">
        <w:t>e 59: 73–8.</w:t>
      </w:r>
    </w:p>
    <w:p w14:paraId="25B6936D" w14:textId="77777777" w:rsidR="00EF27EC" w:rsidRPr="00C000B2" w:rsidRDefault="00EF27EC" w:rsidP="00043D21">
      <w:pPr>
        <w:pStyle w:val="References"/>
      </w:pPr>
      <w:r w:rsidRPr="00C000B2">
        <w:t xml:space="preserve">Wilson N, </w:t>
      </w:r>
      <w:proofErr w:type="spellStart"/>
      <w:r w:rsidRPr="00C000B2">
        <w:t>Gurram</w:t>
      </w:r>
      <w:proofErr w:type="spellEnd"/>
      <w:r w:rsidRPr="00C000B2">
        <w:t xml:space="preserve"> N, Grout L, et al. 2021. A survey of the </w:t>
      </w:r>
      <w:proofErr w:type="spellStart"/>
      <w:r w:rsidRPr="00C000B2">
        <w:t>smokefree</w:t>
      </w:r>
      <w:proofErr w:type="spellEnd"/>
      <w:r w:rsidRPr="00C000B2">
        <w:t xml:space="preserve"> status of pedestrian-only spaces in 10 New Zealand local government areas. </w:t>
      </w:r>
      <w:r w:rsidRPr="00C000B2">
        <w:rPr>
          <w:i/>
        </w:rPr>
        <w:t>New Zealand Medical Journal</w:t>
      </w:r>
      <w:r w:rsidRPr="00C000B2">
        <w:t xml:space="preserve"> 135(1544):</w:t>
      </w:r>
      <w:r w:rsidR="001077EA">
        <w:t xml:space="preserve"> </w:t>
      </w:r>
      <w:r w:rsidRPr="00C000B2">
        <w:t>69–86.</w:t>
      </w:r>
    </w:p>
    <w:p w14:paraId="68429037" w14:textId="77777777" w:rsidR="00EF27EC" w:rsidRPr="00C000B2" w:rsidRDefault="00EF27EC" w:rsidP="00043D21">
      <w:pPr>
        <w:pStyle w:val="References"/>
      </w:pPr>
      <w:r w:rsidRPr="00C000B2">
        <w:t xml:space="preserve">Te Hiringa Hauora | Health Promotion Agency. 2020. </w:t>
      </w:r>
      <w:proofErr w:type="spellStart"/>
      <w:r w:rsidRPr="00C000B2">
        <w:t>Smokefree</w:t>
      </w:r>
      <w:proofErr w:type="spellEnd"/>
      <w:r w:rsidRPr="00C000B2">
        <w:t xml:space="preserve"> in </w:t>
      </w:r>
      <w:r w:rsidR="001077EA">
        <w:t>Y</w:t>
      </w:r>
      <w:r w:rsidRPr="00C000B2">
        <w:t xml:space="preserve">our </w:t>
      </w:r>
      <w:r w:rsidR="001077EA">
        <w:t>C</w:t>
      </w:r>
      <w:r w:rsidRPr="00C000B2">
        <w:t>ommunity</w:t>
      </w:r>
      <w:r w:rsidR="001077EA">
        <w:t>:</w:t>
      </w:r>
      <w:r w:rsidRPr="00C000B2">
        <w:t xml:space="preserve"> Protecting our families and breathing easy in our communities. URL: </w:t>
      </w:r>
      <w:hyperlink r:id="rId113" w:history="1">
        <w:r w:rsidR="001077EA" w:rsidRPr="001077EA">
          <w:rPr>
            <w:rStyle w:val="Hyperlink"/>
          </w:rPr>
          <w:t>www.smokefree.org.nz/smokefree-environments/smokefree-in-your-community</w:t>
        </w:r>
      </w:hyperlink>
      <w:r w:rsidRPr="00C000B2">
        <w:t xml:space="preserve"> (accessed 30 October 2021).</w:t>
      </w:r>
    </w:p>
    <w:p w14:paraId="5CA38318" w14:textId="77777777" w:rsidR="00EF27EC" w:rsidRPr="00C000B2" w:rsidRDefault="00EF27EC" w:rsidP="00043D21">
      <w:pPr>
        <w:pStyle w:val="References"/>
      </w:pPr>
      <w:r w:rsidRPr="00C000B2">
        <w:t xml:space="preserve">Thornley L, Edwards R, Thomson G, et al. 2017. </w:t>
      </w:r>
      <w:r w:rsidRPr="00C000B2">
        <w:rPr>
          <w:i/>
        </w:rPr>
        <w:t>Evidence and Feasibility Review Summary Report</w:t>
      </w:r>
      <w:r w:rsidRPr="00C000B2">
        <w:t xml:space="preserve">. Wellington: University of Otago, ASPIRE2025, Quitline and </w:t>
      </w:r>
      <w:proofErr w:type="spellStart"/>
      <w:r w:rsidRPr="00C000B2">
        <w:t>Hāpai</w:t>
      </w:r>
      <w:proofErr w:type="spellEnd"/>
      <w:r w:rsidRPr="00C000B2">
        <w:t xml:space="preserve"> Te</w:t>
      </w:r>
      <w:r w:rsidR="001077EA">
        <w:t> </w:t>
      </w:r>
      <w:r w:rsidRPr="00C000B2">
        <w:t>Hauora.</w:t>
      </w:r>
    </w:p>
    <w:p w14:paraId="07E905E4" w14:textId="77777777" w:rsidR="00EF27EC" w:rsidRPr="00C000B2" w:rsidRDefault="00EF27EC" w:rsidP="00043D21">
      <w:pPr>
        <w:pStyle w:val="References"/>
      </w:pPr>
      <w:r w:rsidRPr="00C000B2">
        <w:t xml:space="preserve">Te Hiringa Hauora | Health Promotion Agency. 2021. </w:t>
      </w:r>
      <w:proofErr w:type="spellStart"/>
      <w:r w:rsidRPr="001077EA">
        <w:rPr>
          <w:i/>
        </w:rPr>
        <w:t>QuitStrong</w:t>
      </w:r>
      <w:proofErr w:type="spellEnd"/>
      <w:r w:rsidRPr="00C000B2">
        <w:t xml:space="preserve">. URL: </w:t>
      </w:r>
      <w:hyperlink r:id="rId114" w:history="1">
        <w:r w:rsidR="001077EA" w:rsidRPr="001077EA">
          <w:rPr>
            <w:rStyle w:val="Hyperlink"/>
          </w:rPr>
          <w:t>https://www.hpa.org.nz/campaign/quitstrong</w:t>
        </w:r>
      </w:hyperlink>
      <w:r w:rsidRPr="00C000B2">
        <w:t xml:space="preserve"> (accessed 30 October 2021).</w:t>
      </w:r>
    </w:p>
    <w:p w14:paraId="1193AAF6" w14:textId="77777777" w:rsidR="00EF27EC" w:rsidRPr="00C000B2" w:rsidRDefault="00EF27EC" w:rsidP="00043D21">
      <w:pPr>
        <w:pStyle w:val="References"/>
      </w:pPr>
      <w:r w:rsidRPr="00C000B2">
        <w:t xml:space="preserve">Edwards R, Hoek J, van der </w:t>
      </w:r>
      <w:proofErr w:type="spellStart"/>
      <w:r w:rsidRPr="00C000B2">
        <w:t>Deen</w:t>
      </w:r>
      <w:proofErr w:type="spellEnd"/>
      <w:r w:rsidRPr="00C000B2">
        <w:t xml:space="preserve"> F. 2014. </w:t>
      </w:r>
      <w:proofErr w:type="spellStart"/>
      <w:r w:rsidRPr="00C000B2">
        <w:t>Smokefree</w:t>
      </w:r>
      <w:proofErr w:type="spellEnd"/>
      <w:r w:rsidRPr="00C000B2">
        <w:t xml:space="preserve"> 2025 – use of mass media in New Zealand lacks alignment with evidence and needs. </w:t>
      </w:r>
      <w:r w:rsidRPr="00C000B2">
        <w:rPr>
          <w:i/>
        </w:rPr>
        <w:t xml:space="preserve">Australian and New Zealand Journal of Public Health </w:t>
      </w:r>
      <w:r w:rsidRPr="00C000B2">
        <w:t>38(4): 395–6. DOI: 10.1111/1753-6405.12246 (accessed 29 October 2021).</w:t>
      </w:r>
    </w:p>
    <w:p w14:paraId="69125C82" w14:textId="77777777" w:rsidR="00EF27EC" w:rsidRPr="00C000B2" w:rsidRDefault="00EF27EC" w:rsidP="00043D21">
      <w:pPr>
        <w:pStyle w:val="References"/>
      </w:pPr>
      <w:r w:rsidRPr="00C000B2">
        <w:t xml:space="preserve">Marsh L, Cameron C, </w:t>
      </w:r>
      <w:proofErr w:type="spellStart"/>
      <w:r w:rsidRPr="00C000B2">
        <w:t>Quigg</w:t>
      </w:r>
      <w:proofErr w:type="spellEnd"/>
      <w:r w:rsidRPr="00C000B2">
        <w:t xml:space="preserve"> R, et al. 2016. The impact of an increase in excise tax on the retail price of tobacco in New Zealand. </w:t>
      </w:r>
      <w:r w:rsidRPr="00C000B2">
        <w:rPr>
          <w:i/>
        </w:rPr>
        <w:t xml:space="preserve">Tobacco Control </w:t>
      </w:r>
      <w:r w:rsidRPr="00C000B2">
        <w:t>25(4): 458–63. DOI: 10.1136/tobaccocontrol-2015-052259 (accessed 29 October 2021).</w:t>
      </w:r>
    </w:p>
    <w:p w14:paraId="0073C976" w14:textId="77777777" w:rsidR="00EF27EC" w:rsidRPr="00C000B2" w:rsidRDefault="00EF27EC" w:rsidP="00043D21">
      <w:pPr>
        <w:pStyle w:val="References"/>
      </w:pPr>
      <w:r w:rsidRPr="00C000B2">
        <w:t xml:space="preserve">Action on Smoking and Health. 2013. </w:t>
      </w:r>
      <w:r w:rsidRPr="00C000B2">
        <w:rPr>
          <w:i/>
        </w:rPr>
        <w:t>ASH New Zealand Tobacco Returns Analysis 2013</w:t>
      </w:r>
      <w:r w:rsidRPr="00C000B2">
        <w:t xml:space="preserve">. Action on Smoking and Health. URL: </w:t>
      </w:r>
      <w:hyperlink r:id="rId115" w:history="1">
        <w:r w:rsidR="001077EA" w:rsidRPr="001077EA">
          <w:rPr>
            <w:rStyle w:val="Hyperlink"/>
          </w:rPr>
          <w:t>https://d3n8a8pro7vhmx.cloudfront.net/ashnz/pages/41/attachments/original/1504152901/TOBACCO-RETURNS-ANALYSIS-2013.pdf?1504152901</w:t>
        </w:r>
      </w:hyperlink>
      <w:r w:rsidRPr="00C000B2">
        <w:t xml:space="preserve"> (accessed 26</w:t>
      </w:r>
      <w:r w:rsidR="001077EA">
        <w:t> </w:t>
      </w:r>
      <w:r w:rsidRPr="00C000B2">
        <w:t>October 2021).</w:t>
      </w:r>
    </w:p>
    <w:p w14:paraId="75046C5C" w14:textId="77777777" w:rsidR="00EF27EC" w:rsidRPr="00C000B2" w:rsidRDefault="00EF27EC" w:rsidP="001077EA">
      <w:pPr>
        <w:pStyle w:val="References"/>
        <w:keepNext/>
      </w:pPr>
      <w:r w:rsidRPr="00C000B2">
        <w:lastRenderedPageBreak/>
        <w:t xml:space="preserve">Ministry of Health. 2021. </w:t>
      </w:r>
      <w:r w:rsidRPr="00C000B2">
        <w:rPr>
          <w:i/>
        </w:rPr>
        <w:t>The New Zealand Guidelines for Helping People to Stop Smoking: 2021</w:t>
      </w:r>
      <w:r w:rsidRPr="00C000B2">
        <w:t>. Wellington: Ministry of Health.</w:t>
      </w:r>
    </w:p>
    <w:p w14:paraId="45BE03FA" w14:textId="77777777" w:rsidR="00EF27EC" w:rsidRPr="00C000B2" w:rsidRDefault="00EF27EC" w:rsidP="00043D21">
      <w:pPr>
        <w:pStyle w:val="References"/>
      </w:pPr>
      <w:r w:rsidRPr="00C000B2">
        <w:t xml:space="preserve">Nghiem N, Cleghorn CL, Leung W, et al. 2018. A national </w:t>
      </w:r>
      <w:proofErr w:type="spellStart"/>
      <w:r w:rsidRPr="00C000B2">
        <w:t>quitline</w:t>
      </w:r>
      <w:proofErr w:type="spellEnd"/>
      <w:r w:rsidRPr="00C000B2">
        <w:t xml:space="preserve"> service and its promotion in the mass media: modelling the health gain, health equity and cost–utility. </w:t>
      </w:r>
      <w:r w:rsidRPr="00C000B2">
        <w:rPr>
          <w:i/>
        </w:rPr>
        <w:t xml:space="preserve">Tobacco Control </w:t>
      </w:r>
      <w:r w:rsidRPr="00C000B2">
        <w:t>27(4): 434–41.</w:t>
      </w:r>
    </w:p>
    <w:p w14:paraId="25AB6B42" w14:textId="77777777" w:rsidR="00EF27EC" w:rsidRPr="00C000B2" w:rsidRDefault="00EF27EC" w:rsidP="00043D21">
      <w:pPr>
        <w:pStyle w:val="References"/>
      </w:pPr>
      <w:r w:rsidRPr="00C000B2">
        <w:t xml:space="preserve">Wilson N, </w:t>
      </w:r>
      <w:proofErr w:type="spellStart"/>
      <w:r w:rsidRPr="00C000B2">
        <w:t>Weerasekera</w:t>
      </w:r>
      <w:proofErr w:type="spellEnd"/>
      <w:r w:rsidRPr="00C000B2">
        <w:t xml:space="preserve"> D, Borland R, et al. 2010. Use of a national </w:t>
      </w:r>
      <w:proofErr w:type="spellStart"/>
      <w:r w:rsidRPr="00C000B2">
        <w:t>quitline</w:t>
      </w:r>
      <w:proofErr w:type="spellEnd"/>
      <w:r w:rsidRPr="00C000B2">
        <w:t xml:space="preserve"> and variation in use by smoker characteristics: ITC Project New Zealand. </w:t>
      </w:r>
      <w:r w:rsidRPr="00C000B2">
        <w:rPr>
          <w:i/>
        </w:rPr>
        <w:t xml:space="preserve">Nicotine &amp; Tobacco Research </w:t>
      </w:r>
      <w:r w:rsidRPr="00C000B2">
        <w:t>12(</w:t>
      </w:r>
      <w:proofErr w:type="spellStart"/>
      <w:r w:rsidRPr="00C000B2">
        <w:t>Suppl</w:t>
      </w:r>
      <w:proofErr w:type="spellEnd"/>
      <w:r w:rsidRPr="00C000B2">
        <w:t xml:space="preserve"> 1): S78–S84.</w:t>
      </w:r>
    </w:p>
    <w:p w14:paraId="3C3E89DC" w14:textId="77777777" w:rsidR="00EF27EC" w:rsidRPr="00C000B2" w:rsidRDefault="00EF27EC" w:rsidP="00043D21">
      <w:pPr>
        <w:pStyle w:val="References"/>
      </w:pPr>
      <w:r w:rsidRPr="00C000B2">
        <w:t xml:space="preserve">World Cancer Research Fund and American Institute for Cancer Research. 2018. Continuous </w:t>
      </w:r>
      <w:r w:rsidR="001077EA">
        <w:t>u</w:t>
      </w:r>
      <w:r w:rsidRPr="00C000B2">
        <w:t xml:space="preserve">pdate </w:t>
      </w:r>
      <w:r w:rsidR="001077EA">
        <w:t>p</w:t>
      </w:r>
      <w:r w:rsidRPr="00C000B2">
        <w:t xml:space="preserve">roject </w:t>
      </w:r>
      <w:r w:rsidR="001077EA">
        <w:t>e</w:t>
      </w:r>
      <w:r w:rsidRPr="00C000B2">
        <w:t xml:space="preserve">xpert </w:t>
      </w:r>
      <w:r w:rsidR="001077EA">
        <w:t>r</w:t>
      </w:r>
      <w:r w:rsidRPr="00C000B2">
        <w:t xml:space="preserve">eport. </w:t>
      </w:r>
      <w:r w:rsidRPr="00C000B2">
        <w:rPr>
          <w:i/>
        </w:rPr>
        <w:t xml:space="preserve">Alcoholic </w:t>
      </w:r>
      <w:r w:rsidR="001077EA">
        <w:rPr>
          <w:i/>
        </w:rPr>
        <w:t>D</w:t>
      </w:r>
      <w:r w:rsidRPr="00C000B2">
        <w:rPr>
          <w:i/>
        </w:rPr>
        <w:t xml:space="preserve">rinks and the </w:t>
      </w:r>
      <w:r w:rsidR="001077EA">
        <w:rPr>
          <w:i/>
        </w:rPr>
        <w:t>R</w:t>
      </w:r>
      <w:r w:rsidRPr="00C000B2">
        <w:rPr>
          <w:i/>
        </w:rPr>
        <w:t xml:space="preserve">isk of </w:t>
      </w:r>
      <w:r w:rsidR="001077EA">
        <w:rPr>
          <w:i/>
        </w:rPr>
        <w:t>C</w:t>
      </w:r>
      <w:r w:rsidRPr="00C000B2">
        <w:rPr>
          <w:i/>
        </w:rPr>
        <w:t>ancer</w:t>
      </w:r>
      <w:r w:rsidRPr="00C000B2">
        <w:t xml:space="preserve">. URL: </w:t>
      </w:r>
      <w:hyperlink r:id="rId116" w:history="1">
        <w:r w:rsidR="001077EA" w:rsidRPr="001077EA">
          <w:rPr>
            <w:rStyle w:val="Hyperlink"/>
          </w:rPr>
          <w:t>https://www.wcrf.org/diet-and-cancer/</w:t>
        </w:r>
      </w:hyperlink>
      <w:r w:rsidRPr="00C000B2">
        <w:t xml:space="preserve"> (accessed 30 October 2021).</w:t>
      </w:r>
    </w:p>
    <w:p w14:paraId="463B9051" w14:textId="77777777" w:rsidR="00EF27EC" w:rsidRPr="00C000B2" w:rsidRDefault="00EF27EC" w:rsidP="00043D21">
      <w:pPr>
        <w:pStyle w:val="References"/>
      </w:pPr>
      <w:r w:rsidRPr="00C000B2">
        <w:t xml:space="preserve">Global Cancer Observatory. 2020. Cancers attributable to alcohol. URL: </w:t>
      </w:r>
      <w:hyperlink r:id="rId117" w:history="1">
        <w:r w:rsidR="001077EA" w:rsidRPr="001077EA">
          <w:rPr>
            <w:rStyle w:val="Hyperlink"/>
          </w:rPr>
          <w:t>https://gco.iarc.fr/causes/alcohol/home</w:t>
        </w:r>
      </w:hyperlink>
      <w:r w:rsidRPr="00C000B2">
        <w:t xml:space="preserve"> (accessed 26 October 2021).</w:t>
      </w:r>
    </w:p>
    <w:p w14:paraId="761C53A1" w14:textId="77777777" w:rsidR="00EF27EC" w:rsidRPr="00C000B2" w:rsidRDefault="00EF27EC" w:rsidP="00043D21">
      <w:pPr>
        <w:pStyle w:val="References"/>
      </w:pPr>
      <w:r w:rsidRPr="00C000B2">
        <w:t xml:space="preserve">IHME. 2019. </w:t>
      </w:r>
      <w:r w:rsidRPr="00C000B2">
        <w:rPr>
          <w:i/>
        </w:rPr>
        <w:t>GBD Results Tool – For all ages and sexes; alcohol-attributable mortality for all cancer (neoplasms)</w:t>
      </w:r>
      <w:r w:rsidRPr="00C000B2">
        <w:t xml:space="preserve">. Institute for Health Metrics and Evaluation. URL: </w:t>
      </w:r>
      <w:hyperlink r:id="rId118" w:history="1">
        <w:r w:rsidR="001077EA" w:rsidRPr="001077EA">
          <w:rPr>
            <w:rStyle w:val="Hyperlink"/>
          </w:rPr>
          <w:t>http://ghdx.healthdata.org/gbd-results-tool?params=gbd-api-2019-permalink/b16c0de6ade500aab013457335003363</w:t>
        </w:r>
      </w:hyperlink>
      <w:r w:rsidRPr="00C000B2">
        <w:t xml:space="preserve"> (accessed 1 November 2021).</w:t>
      </w:r>
    </w:p>
    <w:p w14:paraId="37C15062" w14:textId="77777777" w:rsidR="00EF27EC" w:rsidRPr="00C000B2" w:rsidRDefault="00EF27EC" w:rsidP="00043D21">
      <w:pPr>
        <w:pStyle w:val="References"/>
      </w:pPr>
      <w:r w:rsidRPr="00C000B2">
        <w:t xml:space="preserve">Rehm J, Shield KD. 2021. Alcohol use and cancer in the European Union. </w:t>
      </w:r>
      <w:r w:rsidRPr="001077EA">
        <w:rPr>
          <w:i/>
        </w:rPr>
        <w:t>European Addiction Research</w:t>
      </w:r>
      <w:r w:rsidR="001077EA">
        <w:t xml:space="preserve"> </w:t>
      </w:r>
      <w:r w:rsidRPr="00C000B2">
        <w:t>27(1): 1–8.</w:t>
      </w:r>
    </w:p>
    <w:p w14:paraId="0E35940D" w14:textId="77777777" w:rsidR="00EF27EC" w:rsidRPr="00C000B2" w:rsidRDefault="00EF27EC" w:rsidP="00043D21">
      <w:pPr>
        <w:pStyle w:val="References"/>
      </w:pPr>
      <w:r w:rsidRPr="00C000B2">
        <w:t xml:space="preserve">Health Promotion Agency. 2013. Cancer </w:t>
      </w:r>
      <w:r w:rsidR="001077EA">
        <w:t>and</w:t>
      </w:r>
      <w:r w:rsidRPr="00C000B2">
        <w:t xml:space="preserve"> alcohol. </w:t>
      </w:r>
      <w:proofErr w:type="spellStart"/>
      <w:r w:rsidRPr="00C000B2">
        <w:rPr>
          <w:i/>
        </w:rPr>
        <w:t>AlcoholNZ</w:t>
      </w:r>
      <w:proofErr w:type="spellEnd"/>
      <w:r w:rsidRPr="00C000B2">
        <w:rPr>
          <w:i/>
        </w:rPr>
        <w:t xml:space="preserve"> </w:t>
      </w:r>
      <w:r w:rsidRPr="00C000B2">
        <w:t xml:space="preserve">3(1): 18–21. URL: </w:t>
      </w:r>
      <w:hyperlink r:id="rId119" w:history="1">
        <w:r w:rsidR="001077EA" w:rsidRPr="001077EA">
          <w:rPr>
            <w:rStyle w:val="Hyperlink"/>
          </w:rPr>
          <w:t>https://www.hpa.org.nz/sites/default/files/documents/AlcoholNZ_June_2013_LR_spreads.pdf</w:t>
        </w:r>
      </w:hyperlink>
      <w:r w:rsidRPr="00C000B2">
        <w:t xml:space="preserve"> (accessed 29 October 2021).</w:t>
      </w:r>
    </w:p>
    <w:p w14:paraId="387D5F09" w14:textId="77777777" w:rsidR="00EF27EC" w:rsidRPr="00C000B2" w:rsidRDefault="00EF27EC" w:rsidP="00043D21">
      <w:pPr>
        <w:pStyle w:val="References"/>
      </w:pPr>
      <w:r w:rsidRPr="00C000B2">
        <w:t xml:space="preserve">Connor J, </w:t>
      </w:r>
      <w:proofErr w:type="spellStart"/>
      <w:r w:rsidRPr="00C000B2">
        <w:t>Kydd</w:t>
      </w:r>
      <w:proofErr w:type="spellEnd"/>
      <w:r w:rsidRPr="00C000B2">
        <w:t xml:space="preserve"> R, </w:t>
      </w:r>
      <w:proofErr w:type="spellStart"/>
      <w:r w:rsidRPr="00C000B2">
        <w:t>Maclennan</w:t>
      </w:r>
      <w:proofErr w:type="spellEnd"/>
      <w:r w:rsidRPr="00C000B2">
        <w:t xml:space="preserve"> B, et al. 2017. Alcohol-attributable cancer deaths under 80 years of age in New Zealand. </w:t>
      </w:r>
      <w:r w:rsidRPr="00C000B2">
        <w:rPr>
          <w:i/>
        </w:rPr>
        <w:t xml:space="preserve">Drug and Alcohol Review </w:t>
      </w:r>
      <w:r w:rsidRPr="00C000B2">
        <w:t>36(3): 415–23.</w:t>
      </w:r>
    </w:p>
    <w:p w14:paraId="3CB3AB78" w14:textId="77777777" w:rsidR="00EF27EC" w:rsidRPr="00C000B2" w:rsidRDefault="00EF27EC" w:rsidP="00043D21">
      <w:pPr>
        <w:pStyle w:val="References"/>
      </w:pPr>
      <w:r w:rsidRPr="00C000B2">
        <w:t xml:space="preserve">Nielsen. 2021. </w:t>
      </w:r>
      <w:r w:rsidRPr="00C000B2">
        <w:rPr>
          <w:i/>
        </w:rPr>
        <w:t>Alcohol Use in New Zealand Survey (</w:t>
      </w:r>
      <w:proofErr w:type="spellStart"/>
      <w:r w:rsidRPr="00C000B2">
        <w:rPr>
          <w:i/>
        </w:rPr>
        <w:t>AUiNZ</w:t>
      </w:r>
      <w:proofErr w:type="spellEnd"/>
      <w:r w:rsidRPr="00C000B2">
        <w:rPr>
          <w:i/>
        </w:rPr>
        <w:t>) 2019/20: High-level results</w:t>
      </w:r>
      <w:r w:rsidRPr="00C000B2">
        <w:t>. Wellington: Te Hiringa Hauora | Health Promotion Agency.</w:t>
      </w:r>
    </w:p>
    <w:p w14:paraId="53C5F435" w14:textId="77777777" w:rsidR="00EF27EC" w:rsidRPr="00C000B2" w:rsidRDefault="00EF27EC" w:rsidP="00043D21">
      <w:pPr>
        <w:pStyle w:val="References"/>
      </w:pPr>
      <w:r w:rsidRPr="00C000B2">
        <w:t xml:space="preserve">WHO. </w:t>
      </w:r>
      <w:proofErr w:type="spellStart"/>
      <w:r w:rsidRPr="00C000B2">
        <w:t>nd</w:t>
      </w:r>
      <w:proofErr w:type="spellEnd"/>
      <w:r w:rsidRPr="00C000B2">
        <w:t xml:space="preserve">. The Global Health Observatory: Alcohol, total per capita (15+) consumption (in litres of pure alcohol) (SDG Indicator 3.5.2). World Health Organization. URL: </w:t>
      </w:r>
      <w:hyperlink r:id="rId120" w:history="1">
        <w:r w:rsidR="001077EA" w:rsidRPr="001077EA">
          <w:rPr>
            <w:rStyle w:val="Hyperlink"/>
          </w:rPr>
          <w:t>https://www.who.int/data/gho/data/indicators/indicator-details/GHO/total-(recorded-unrecorded)-alcohol-per-capita-(15-)-consumption</w:t>
        </w:r>
      </w:hyperlink>
      <w:r w:rsidRPr="00C000B2">
        <w:t xml:space="preserve"> (accessed 26 October 2021).</w:t>
      </w:r>
    </w:p>
    <w:p w14:paraId="6C367862" w14:textId="77777777" w:rsidR="00EF27EC" w:rsidRPr="00C000B2" w:rsidRDefault="00EF27EC" w:rsidP="00043D21">
      <w:pPr>
        <w:pStyle w:val="References"/>
      </w:pPr>
      <w:r w:rsidRPr="00C000B2">
        <w:t xml:space="preserve">Stats NZ. 2020. Alcohol available for consumption: Year ended December 2019. URL: </w:t>
      </w:r>
      <w:hyperlink r:id="rId121" w:anchor=":~:text=up%201.7%20percent-,The%20total%20volume%20of%20alcoholic%20beverages%20availa-ble%20for%20consumption%20rose,percent%20to%20298%20million%20litres" w:history="1">
        <w:r w:rsidR="001077EA" w:rsidRPr="001077EA">
          <w:rPr>
            <w:rStyle w:val="Hyperlink"/>
          </w:rPr>
          <w:t>https://www.stats.govt.nz/information-releases/alcohol-available-for-consumption-year-ended-december-2019#:~:text=up%201.7%20percent-,The%20total%20volume%20of%20alcoholic%20beverages%20availa-ble%20for%20consumption%20rose,percent%20to%20298%20million%20litres</w:t>
        </w:r>
      </w:hyperlink>
      <w:r w:rsidRPr="00C000B2">
        <w:t xml:space="preserve"> (accessed 28 October 2021).</w:t>
      </w:r>
    </w:p>
    <w:p w14:paraId="00B52D5C" w14:textId="77777777" w:rsidR="00EF27EC" w:rsidRPr="00C000B2" w:rsidRDefault="00EF27EC" w:rsidP="00043D21">
      <w:pPr>
        <w:pStyle w:val="References"/>
      </w:pPr>
      <w:r w:rsidRPr="00C000B2">
        <w:t xml:space="preserve">Te Hiringa Hauora | Health Promotion Agency. 2016. </w:t>
      </w:r>
      <w:r w:rsidRPr="00C000B2">
        <w:rPr>
          <w:i/>
        </w:rPr>
        <w:t>The Straight Up Guide to Standard Drinks</w:t>
      </w:r>
      <w:r w:rsidRPr="00C000B2">
        <w:t>. Wellington: Te Hiringa Hauora | Health Promotion Agency.</w:t>
      </w:r>
    </w:p>
    <w:p w14:paraId="4199C94F" w14:textId="77777777" w:rsidR="00EF27EC" w:rsidRPr="00C000B2" w:rsidRDefault="00EF27EC" w:rsidP="00043D21">
      <w:pPr>
        <w:pStyle w:val="References"/>
      </w:pPr>
      <w:r w:rsidRPr="00C000B2">
        <w:t>Stats NZ. 2021. Alcohol available for consumption: Year ended Decembe</w:t>
      </w:r>
      <w:r w:rsidR="001077EA">
        <w:t xml:space="preserve">r 2020. URL: </w:t>
      </w:r>
      <w:hyperlink r:id="rId122" w:history="1">
        <w:r w:rsidR="001077EA" w:rsidRPr="001077EA">
          <w:rPr>
            <w:rStyle w:val="Hyperlink"/>
          </w:rPr>
          <w:t>https://www.stats.govt.nz/information-releases/alcohol-available-for-consumption-year-ended-december-2020</w:t>
        </w:r>
      </w:hyperlink>
      <w:r w:rsidRPr="00C000B2">
        <w:t xml:space="preserve"> (accessed 30 October 2021).</w:t>
      </w:r>
    </w:p>
    <w:p w14:paraId="43CCBFF4" w14:textId="77777777" w:rsidR="00EF27EC" w:rsidRPr="00C000B2" w:rsidRDefault="00EF27EC" w:rsidP="0056440F">
      <w:pPr>
        <w:pStyle w:val="References"/>
        <w:keepNext/>
        <w:keepLines/>
      </w:pPr>
      <w:r w:rsidRPr="00C000B2">
        <w:lastRenderedPageBreak/>
        <w:t xml:space="preserve">Te Hiringa Hauora | Health Promotion Agency. </w:t>
      </w:r>
      <w:proofErr w:type="spellStart"/>
      <w:r w:rsidRPr="00C000B2">
        <w:t>nd</w:t>
      </w:r>
      <w:proofErr w:type="spellEnd"/>
      <w:r w:rsidRPr="00C000B2">
        <w:t>. Low-risk alcohol drinking advice.</w:t>
      </w:r>
      <w:r w:rsidR="0056440F">
        <w:t xml:space="preserve"> </w:t>
      </w:r>
      <w:r w:rsidRPr="00C000B2">
        <w:t xml:space="preserve">URL: </w:t>
      </w:r>
      <w:r w:rsidRPr="0056440F">
        <w:rPr>
          <w:rStyle w:val="Hyperlink"/>
        </w:rPr>
        <w:t>https://</w:t>
      </w:r>
      <w:hyperlink r:id="rId123">
        <w:r w:rsidRPr="0056440F">
          <w:rPr>
            <w:rStyle w:val="Hyperlink"/>
          </w:rPr>
          <w:t>www.alcohol.org.nz/help-advice/advice-on-alcohol/low-risk-alcohol-drinking-advice</w:t>
        </w:r>
      </w:hyperlink>
      <w:r w:rsidRPr="00C000B2">
        <w:t xml:space="preserve"> (accessed 30 October 2021).</w:t>
      </w:r>
    </w:p>
    <w:p w14:paraId="20ECDA4B" w14:textId="77777777" w:rsidR="00EF27EC" w:rsidRPr="00C000B2" w:rsidRDefault="00EF27EC" w:rsidP="00043D21">
      <w:pPr>
        <w:pStyle w:val="References"/>
      </w:pPr>
      <w:r w:rsidRPr="00C000B2">
        <w:t xml:space="preserve">Te Hiringa Hauora | Health Promotion Agency. </w:t>
      </w:r>
      <w:proofErr w:type="spellStart"/>
      <w:r w:rsidRPr="00C000B2">
        <w:t>nd</w:t>
      </w:r>
      <w:proofErr w:type="spellEnd"/>
      <w:r w:rsidRPr="00C000B2">
        <w:t xml:space="preserve">. </w:t>
      </w:r>
      <w:r w:rsidRPr="00C000B2">
        <w:rPr>
          <w:i/>
        </w:rPr>
        <w:t>Kupe Data Explorer. Alcohol</w:t>
      </w:r>
      <w:r w:rsidRPr="00C000B2">
        <w:t>. Te</w:t>
      </w:r>
      <w:r w:rsidR="0056440F">
        <w:t> </w:t>
      </w:r>
      <w:r w:rsidRPr="00C000B2">
        <w:t xml:space="preserve">Hiringa Hauora/Health Promotion Agency. URL: </w:t>
      </w:r>
      <w:hyperlink r:id="rId124" w:anchor="!/alcohol" w:history="1">
        <w:r w:rsidR="0056440F" w:rsidRPr="0056440F">
          <w:rPr>
            <w:rStyle w:val="Hyperlink"/>
          </w:rPr>
          <w:t>https://kupe.hpa.org.nz/#!/alcohol</w:t>
        </w:r>
      </w:hyperlink>
      <w:r w:rsidRPr="00C000B2">
        <w:t xml:space="preserve"> (accessed 30 October 2021).</w:t>
      </w:r>
    </w:p>
    <w:p w14:paraId="397F433E" w14:textId="77777777" w:rsidR="00EF27EC" w:rsidRPr="00C000B2" w:rsidRDefault="00EF27EC" w:rsidP="00043D21">
      <w:pPr>
        <w:pStyle w:val="References"/>
      </w:pPr>
      <w:r w:rsidRPr="00C000B2">
        <w:t xml:space="preserve">Law Commission. 2010. </w:t>
      </w:r>
      <w:r w:rsidRPr="00C000B2">
        <w:rPr>
          <w:i/>
        </w:rPr>
        <w:t xml:space="preserve">Alcohol in Our Lives: Curbing the Harm. A report on the review of the </w:t>
      </w:r>
      <w:proofErr w:type="spellStart"/>
      <w:r w:rsidRPr="00C000B2">
        <w:rPr>
          <w:i/>
        </w:rPr>
        <w:t>regulaory</w:t>
      </w:r>
      <w:proofErr w:type="spellEnd"/>
      <w:r w:rsidRPr="00C000B2">
        <w:rPr>
          <w:i/>
        </w:rPr>
        <w:t xml:space="preserve"> framework for the sale and supply of liquor</w:t>
      </w:r>
      <w:r w:rsidRPr="00C000B2">
        <w:t xml:space="preserve">. Wellington: Law Commission. URL: </w:t>
      </w:r>
      <w:hyperlink r:id="rId125" w:history="1">
        <w:r w:rsidR="0056440F" w:rsidRPr="0056440F">
          <w:rPr>
            <w:rStyle w:val="Hyperlink"/>
          </w:rPr>
          <w:t>https://www.lawcom.govt.nz/sites/default/files/projectAvailableFormats/NZLC%20R114.pdf</w:t>
        </w:r>
      </w:hyperlink>
      <w:r w:rsidRPr="00C000B2">
        <w:t xml:space="preserve"> (accessed 29 October 2021).</w:t>
      </w:r>
    </w:p>
    <w:p w14:paraId="62436CC0" w14:textId="77777777" w:rsidR="00EF27EC" w:rsidRPr="00C000B2" w:rsidRDefault="00EF27EC" w:rsidP="00043D21">
      <w:pPr>
        <w:pStyle w:val="References"/>
      </w:pPr>
      <w:r w:rsidRPr="00C000B2">
        <w:t xml:space="preserve">Ministerial Forum on Alcohol Advertising and Sponsorship. 2014. </w:t>
      </w:r>
      <w:r w:rsidRPr="00C000B2">
        <w:rPr>
          <w:i/>
        </w:rPr>
        <w:t>Ministerial Forum on Alcohol Advertising and Sponsorship: Recommendations on alcohol advertising and sponsorship</w:t>
      </w:r>
      <w:r w:rsidRPr="00C000B2">
        <w:t xml:space="preserve">. Wellington: Ministry of Health. URL: </w:t>
      </w:r>
      <w:hyperlink r:id="rId126" w:history="1">
        <w:r w:rsidR="0056440F" w:rsidRPr="0056440F">
          <w:rPr>
            <w:rStyle w:val="Hyperlink"/>
          </w:rPr>
          <w:t>https://www.health.govt.nz/publication/ministerial-forum-alcohol-advertising</w:t>
        </w:r>
      </w:hyperlink>
      <w:r w:rsidR="0056440F">
        <w:t xml:space="preserve"> </w:t>
      </w:r>
      <w:r w:rsidRPr="00C000B2">
        <w:t>(accessed 29 October 2021).</w:t>
      </w:r>
    </w:p>
    <w:p w14:paraId="4FAFE9AD" w14:textId="77777777" w:rsidR="00EF27EC" w:rsidRPr="00C000B2" w:rsidRDefault="00EF27EC" w:rsidP="00043D21">
      <w:pPr>
        <w:pStyle w:val="References"/>
      </w:pPr>
      <w:r w:rsidRPr="00C000B2">
        <w:t xml:space="preserve">Government Inquiry into Mental Health and Addiction. 2018. </w:t>
      </w:r>
      <w:r w:rsidRPr="00C000B2">
        <w:rPr>
          <w:i/>
        </w:rPr>
        <w:t xml:space="preserve">He Ara </w:t>
      </w:r>
      <w:proofErr w:type="spellStart"/>
      <w:r w:rsidRPr="00C000B2">
        <w:rPr>
          <w:i/>
        </w:rPr>
        <w:t>Oranga</w:t>
      </w:r>
      <w:proofErr w:type="spellEnd"/>
      <w:r w:rsidRPr="00C000B2">
        <w:rPr>
          <w:i/>
        </w:rPr>
        <w:t>: Report of the Government Inquiry into Mental Health and Addiction</w:t>
      </w:r>
      <w:r w:rsidRPr="00C000B2">
        <w:t>. Wellington: Government Inquiry into Mental Health and Addiction.</w:t>
      </w:r>
    </w:p>
    <w:p w14:paraId="2AA46937" w14:textId="77777777" w:rsidR="00EF27EC" w:rsidRPr="00C000B2" w:rsidRDefault="00EF27EC" w:rsidP="00043D21">
      <w:pPr>
        <w:pStyle w:val="References"/>
      </w:pPr>
      <w:r w:rsidRPr="00C000B2">
        <w:t xml:space="preserve">Alcohol Healthwatch. 2020. Evidence-based Alcohol Policies: </w:t>
      </w:r>
      <w:r w:rsidR="0056440F" w:rsidRPr="0056440F">
        <w:rPr>
          <w:i/>
        </w:rPr>
        <w:t>Building a F</w:t>
      </w:r>
      <w:r w:rsidRPr="0056440F">
        <w:rPr>
          <w:i/>
        </w:rPr>
        <w:t xml:space="preserve">airer and </w:t>
      </w:r>
      <w:r w:rsidR="0056440F" w:rsidRPr="0056440F">
        <w:rPr>
          <w:i/>
        </w:rPr>
        <w:t>H</w:t>
      </w:r>
      <w:r w:rsidRPr="0056440F">
        <w:rPr>
          <w:i/>
        </w:rPr>
        <w:t xml:space="preserve">ealthier </w:t>
      </w:r>
      <w:r w:rsidR="0056440F" w:rsidRPr="0056440F">
        <w:rPr>
          <w:i/>
        </w:rPr>
        <w:t>F</w:t>
      </w:r>
      <w:r w:rsidRPr="0056440F">
        <w:rPr>
          <w:i/>
        </w:rPr>
        <w:t>uture for Aotearoa New Zealand</w:t>
      </w:r>
      <w:r w:rsidRPr="00C000B2">
        <w:t xml:space="preserve">. Auckland: Alcohol Healthwatch. URL: </w:t>
      </w:r>
      <w:hyperlink r:id="rId127" w:history="1">
        <w:r w:rsidR="0056440F" w:rsidRPr="0056440F">
          <w:rPr>
            <w:rStyle w:val="Hyperlink"/>
          </w:rPr>
          <w:t>https://www.ahw.org.nz/Portals/5/Resources/Briefing%20papers/2021/Evidence-based%20alcohol%20policies-Alcohol%20Healthwatch%20Nov%202020.pdf</w:t>
        </w:r>
      </w:hyperlink>
      <w:r w:rsidRPr="00C000B2">
        <w:t xml:space="preserve"> (accessed 1 November 2021).</w:t>
      </w:r>
    </w:p>
    <w:p w14:paraId="006534E2" w14:textId="77777777" w:rsidR="00EF27EC" w:rsidRPr="00C000B2" w:rsidRDefault="00EF27EC" w:rsidP="00043D21">
      <w:pPr>
        <w:pStyle w:val="References"/>
      </w:pPr>
      <w:r w:rsidRPr="00C000B2">
        <w:t xml:space="preserve">WHO. </w:t>
      </w:r>
      <w:proofErr w:type="spellStart"/>
      <w:r w:rsidRPr="00C000B2">
        <w:t>nd</w:t>
      </w:r>
      <w:proofErr w:type="spellEnd"/>
      <w:r w:rsidRPr="00C000B2">
        <w:t xml:space="preserve">. The SAFER initiative: a world free from alcohol related harm. World Health Organization. URL: </w:t>
      </w:r>
      <w:hyperlink r:id="rId128" w:history="1">
        <w:r w:rsidR="0056440F" w:rsidRPr="0056440F">
          <w:rPr>
            <w:rStyle w:val="Hyperlink"/>
          </w:rPr>
          <w:t>https://www.who.int/initiatives/SAFER</w:t>
        </w:r>
      </w:hyperlink>
      <w:r w:rsidR="0056440F">
        <w:t xml:space="preserve"> </w:t>
      </w:r>
      <w:r w:rsidRPr="00C000B2">
        <w:t>(accessed 26</w:t>
      </w:r>
      <w:r w:rsidR="0056440F">
        <w:t> </w:t>
      </w:r>
      <w:r w:rsidRPr="00C000B2">
        <w:t>October 2021).</w:t>
      </w:r>
    </w:p>
    <w:p w14:paraId="45AA63AB" w14:textId="77777777" w:rsidR="0056440F" w:rsidRDefault="00EF27EC" w:rsidP="00043D21">
      <w:pPr>
        <w:pStyle w:val="References"/>
      </w:pPr>
      <w:r w:rsidRPr="00C000B2">
        <w:t xml:space="preserve">Chamberlain N. 2021. </w:t>
      </w:r>
      <w:r w:rsidRPr="0056440F">
        <w:rPr>
          <w:i/>
        </w:rPr>
        <w:t>DHB Position Statement on the Sale and Supply of Alcohol Act</w:t>
      </w:r>
      <w:r w:rsidRPr="00C000B2">
        <w:t>.</w:t>
      </w:r>
    </w:p>
    <w:p w14:paraId="34BE7F59" w14:textId="77777777" w:rsidR="00EF27EC" w:rsidRPr="00C000B2" w:rsidRDefault="00EF27EC" w:rsidP="00043D21">
      <w:pPr>
        <w:pStyle w:val="References"/>
      </w:pPr>
      <w:r w:rsidRPr="00C000B2">
        <w:t xml:space="preserve">ME Consulting. 2018. </w:t>
      </w:r>
      <w:r w:rsidRPr="0056440F">
        <w:rPr>
          <w:i/>
        </w:rPr>
        <w:t>New Zealand Alcohol Supply and Demand Structures: Research report</w:t>
      </w:r>
      <w:r w:rsidRPr="00C000B2">
        <w:t>. Wellington: Te Hiringa Hauora | Health Promotion Agency.</w:t>
      </w:r>
    </w:p>
    <w:p w14:paraId="0B285499" w14:textId="77777777" w:rsidR="00EF27EC" w:rsidRPr="00C000B2" w:rsidRDefault="00EF27EC" w:rsidP="00043D21">
      <w:pPr>
        <w:pStyle w:val="References"/>
      </w:pPr>
      <w:r w:rsidRPr="00C000B2">
        <w:t xml:space="preserve">Te Hiringa Hauora | Health Promotion Agency. 2018. </w:t>
      </w:r>
      <w:r w:rsidRPr="00C000B2">
        <w:rPr>
          <w:i/>
        </w:rPr>
        <w:t>Trends in Affordability of Alcohol in New Zealand</w:t>
      </w:r>
      <w:r w:rsidRPr="00C000B2">
        <w:t>. Wellington: Te Hiringa Hauora | Health Promotion Agency.</w:t>
      </w:r>
    </w:p>
    <w:p w14:paraId="25422E33" w14:textId="77777777" w:rsidR="00EF27EC" w:rsidRPr="00C000B2" w:rsidRDefault="00EF27EC" w:rsidP="00043D21">
      <w:pPr>
        <w:pStyle w:val="References"/>
      </w:pPr>
      <w:r w:rsidRPr="00C000B2">
        <w:t xml:space="preserve">Wall M, Casswell S, Yeh LC. 2017. Purchases by heavier drinking young people concentrated in lower priced beverages: implications for policy. </w:t>
      </w:r>
      <w:r w:rsidRPr="00C000B2">
        <w:rPr>
          <w:i/>
        </w:rPr>
        <w:t xml:space="preserve">Drug and Alcohol Review </w:t>
      </w:r>
      <w:r w:rsidRPr="00C000B2">
        <w:t>36(3): 352–8.</w:t>
      </w:r>
    </w:p>
    <w:p w14:paraId="76F33257" w14:textId="77777777" w:rsidR="00EF27EC" w:rsidRPr="00C000B2" w:rsidRDefault="00EF27EC" w:rsidP="00043D21">
      <w:pPr>
        <w:pStyle w:val="References"/>
      </w:pPr>
      <w:r w:rsidRPr="00C000B2">
        <w:t xml:space="preserve">Casswell S, Huckle T, Wall M, et al. 2014. International alcohol control study: pricing data and hours of purchase predict heavier drinking. </w:t>
      </w:r>
      <w:r w:rsidRPr="00C000B2">
        <w:rPr>
          <w:i/>
        </w:rPr>
        <w:t xml:space="preserve">Alcoholism: Clinical and experimental research </w:t>
      </w:r>
      <w:r w:rsidRPr="00C000B2">
        <w:t>38(5)</w:t>
      </w:r>
      <w:r w:rsidR="0056440F">
        <w:t>:</w:t>
      </w:r>
      <w:r w:rsidRPr="00C000B2">
        <w:t xml:space="preserve"> 1425–31.</w:t>
      </w:r>
    </w:p>
    <w:p w14:paraId="6ADF2F4F" w14:textId="77777777" w:rsidR="00EF27EC" w:rsidRPr="00C000B2" w:rsidRDefault="00EF27EC" w:rsidP="00043D21">
      <w:pPr>
        <w:pStyle w:val="References"/>
      </w:pPr>
      <w:r w:rsidRPr="00C000B2">
        <w:t xml:space="preserve">Hay GC, Whigham PA, </w:t>
      </w:r>
      <w:proofErr w:type="spellStart"/>
      <w:r w:rsidRPr="00C000B2">
        <w:t>Kypri</w:t>
      </w:r>
      <w:proofErr w:type="spellEnd"/>
      <w:r w:rsidRPr="00C000B2">
        <w:t xml:space="preserve"> K, et al. 2009. Neighbourhood deprivation and access to alcohol outlets: a national study. </w:t>
      </w:r>
      <w:r w:rsidRPr="00C000B2">
        <w:rPr>
          <w:i/>
        </w:rPr>
        <w:t xml:space="preserve">Health &amp; Place </w:t>
      </w:r>
      <w:r w:rsidRPr="00C000B2">
        <w:t>15(4): 1086–93. DOI: 10.1016/j.healthplace.2009.05.008 (accessed 29 October 2021).</w:t>
      </w:r>
    </w:p>
    <w:p w14:paraId="0F26E5B5" w14:textId="77777777" w:rsidR="00EF27EC" w:rsidRPr="00C000B2" w:rsidRDefault="00EF27EC" w:rsidP="00043D21">
      <w:pPr>
        <w:pStyle w:val="References"/>
      </w:pPr>
      <w:r w:rsidRPr="00C000B2">
        <w:t xml:space="preserve">National Research Bureau. 2012. </w:t>
      </w:r>
      <w:r w:rsidRPr="00C000B2">
        <w:rPr>
          <w:i/>
        </w:rPr>
        <w:t>The Alcohol Purchasing Patterns of Heavy Drinkers in NZ</w:t>
      </w:r>
      <w:r w:rsidRPr="00C000B2">
        <w:t>. Wellington: Ministry of Health.</w:t>
      </w:r>
    </w:p>
    <w:p w14:paraId="62471BE8" w14:textId="77777777" w:rsidR="00EF27EC" w:rsidRPr="00C000B2" w:rsidRDefault="00EF27EC" w:rsidP="00043D21">
      <w:pPr>
        <w:pStyle w:val="References"/>
      </w:pPr>
      <w:r w:rsidRPr="00C000B2">
        <w:lastRenderedPageBreak/>
        <w:t xml:space="preserve">Chisholm D, Moro D, Bertram M, et al. 2018. Are the ‘best buys’ for alcohol control still valid? An update on the comparative cost-effectiveness of alcohol control strategies at the global level. </w:t>
      </w:r>
      <w:r w:rsidRPr="00C000B2">
        <w:rPr>
          <w:i/>
        </w:rPr>
        <w:t xml:space="preserve">Journal of Studies on Alcohol and Drugs </w:t>
      </w:r>
      <w:r w:rsidRPr="00C000B2">
        <w:t>79(4):</w:t>
      </w:r>
      <w:r w:rsidR="0056440F">
        <w:br/>
      </w:r>
      <w:r w:rsidRPr="00C000B2">
        <w:t>514–22.</w:t>
      </w:r>
    </w:p>
    <w:p w14:paraId="5D06743D" w14:textId="77777777" w:rsidR="00EF27EC" w:rsidRPr="00C000B2" w:rsidRDefault="00EF27EC" w:rsidP="00043D21">
      <w:pPr>
        <w:pStyle w:val="References"/>
      </w:pPr>
      <w:r w:rsidRPr="00C000B2">
        <w:t xml:space="preserve">Martineau F, Tyner E, </w:t>
      </w:r>
      <w:proofErr w:type="spellStart"/>
      <w:r w:rsidRPr="00C000B2">
        <w:t>Lorenc</w:t>
      </w:r>
      <w:proofErr w:type="spellEnd"/>
      <w:r w:rsidRPr="00C000B2">
        <w:t xml:space="preserve"> T, et al. 2013. Population-level interventions to reduce alcohol-related harm: an overview of systematic reviews. </w:t>
      </w:r>
      <w:r w:rsidRPr="00C000B2">
        <w:rPr>
          <w:i/>
        </w:rPr>
        <w:t xml:space="preserve">Preventive Medicine </w:t>
      </w:r>
      <w:r w:rsidRPr="00C000B2">
        <w:t>57(4): 278–96.</w:t>
      </w:r>
    </w:p>
    <w:p w14:paraId="5BA623A5" w14:textId="77777777" w:rsidR="00EF27EC" w:rsidRPr="00C000B2" w:rsidRDefault="00EF27EC" w:rsidP="00043D21">
      <w:pPr>
        <w:pStyle w:val="References"/>
      </w:pPr>
      <w:proofErr w:type="spellStart"/>
      <w:r w:rsidRPr="00C000B2">
        <w:t>Wagenaar</w:t>
      </w:r>
      <w:proofErr w:type="spellEnd"/>
      <w:r w:rsidRPr="00C000B2">
        <w:t xml:space="preserve"> A, </w:t>
      </w:r>
      <w:proofErr w:type="spellStart"/>
      <w:r w:rsidRPr="00C000B2">
        <w:t>Salois</w:t>
      </w:r>
      <w:proofErr w:type="spellEnd"/>
      <w:r w:rsidRPr="00C000B2">
        <w:t xml:space="preserve"> M, </w:t>
      </w:r>
      <w:proofErr w:type="spellStart"/>
      <w:r w:rsidRPr="00C000B2">
        <w:t>Komro</w:t>
      </w:r>
      <w:proofErr w:type="spellEnd"/>
      <w:r w:rsidRPr="00C000B2">
        <w:t xml:space="preserve"> K. 2009. Effects of beverage alcohol price and tax levels on drinking: a meta-analysis of 1003 estimates from 112 studies. </w:t>
      </w:r>
      <w:r w:rsidRPr="00C000B2">
        <w:rPr>
          <w:i/>
        </w:rPr>
        <w:t xml:space="preserve">Addiction </w:t>
      </w:r>
      <w:r w:rsidRPr="00C000B2">
        <w:t>104(2): 179–90.</w:t>
      </w:r>
    </w:p>
    <w:p w14:paraId="0FB268D4" w14:textId="77777777" w:rsidR="00EF27EC" w:rsidRPr="00C000B2" w:rsidRDefault="00EF27EC" w:rsidP="00043D21">
      <w:pPr>
        <w:pStyle w:val="References"/>
      </w:pPr>
      <w:r w:rsidRPr="00C000B2">
        <w:t xml:space="preserve">Burton R, Henn C, Lavoie D, et al. 2017. A rapid evidence review of the effectiveness and cost-effectiveness of alcohol control policies: an English perspective. </w:t>
      </w:r>
      <w:r w:rsidRPr="00C000B2">
        <w:rPr>
          <w:i/>
        </w:rPr>
        <w:t xml:space="preserve">The Lancet </w:t>
      </w:r>
      <w:r w:rsidRPr="00C000B2">
        <w:t>389(10078): 1558–80.</w:t>
      </w:r>
    </w:p>
    <w:p w14:paraId="4A6C5878" w14:textId="77777777" w:rsidR="00EF27EC" w:rsidRPr="00C000B2" w:rsidRDefault="00EF27EC" w:rsidP="00043D21">
      <w:pPr>
        <w:pStyle w:val="References"/>
      </w:pPr>
      <w:r w:rsidRPr="00C000B2">
        <w:t xml:space="preserve">WHO. 2017. </w:t>
      </w:r>
      <w:r w:rsidRPr="00C000B2">
        <w:rPr>
          <w:i/>
        </w:rPr>
        <w:t>Tackling NCDs: ‘Best buys’ and other recommended interventions for the prevention and control of noncommunicable diseases</w:t>
      </w:r>
      <w:r w:rsidRPr="00C000B2">
        <w:t xml:space="preserve">. Geneva: World Health Organization. URL: </w:t>
      </w:r>
      <w:hyperlink r:id="rId129" w:history="1">
        <w:r w:rsidR="0056440F" w:rsidRPr="0056440F">
          <w:rPr>
            <w:rStyle w:val="Hyperlink"/>
          </w:rPr>
          <w:t>https://apps.who.int/iris/bitstream/handle/10665/259232/WHO-NMH-NVI-17.9-eng.pdf?sequence=1&amp;isAllowed=y</w:t>
        </w:r>
      </w:hyperlink>
      <w:r w:rsidRPr="00C000B2">
        <w:t xml:space="preserve"> (accessed 30 October 2021).</w:t>
      </w:r>
    </w:p>
    <w:p w14:paraId="398ACA10" w14:textId="77777777" w:rsidR="00EF27EC" w:rsidRPr="00C000B2" w:rsidRDefault="00EF27EC" w:rsidP="00043D21">
      <w:pPr>
        <w:pStyle w:val="References"/>
      </w:pPr>
      <w:r w:rsidRPr="00C000B2">
        <w:t xml:space="preserve">Jackson N, U E, </w:t>
      </w:r>
      <w:proofErr w:type="spellStart"/>
      <w:r w:rsidRPr="00C000B2">
        <w:t>Admans</w:t>
      </w:r>
      <w:proofErr w:type="spellEnd"/>
      <w:r w:rsidRPr="00C000B2">
        <w:t xml:space="preserve"> J. 2020. </w:t>
      </w:r>
      <w:r w:rsidRPr="00C000B2">
        <w:rPr>
          <w:i/>
        </w:rPr>
        <w:t>A Road Map for Alcohol Pricing Policies: Creating a fairer and healthier Aotearoa New Zealand</w:t>
      </w:r>
      <w:r w:rsidRPr="00C000B2">
        <w:t xml:space="preserve">. Auckland: Alcohol Healthwatch. URL: </w:t>
      </w:r>
      <w:hyperlink r:id="rId130" w:history="1">
        <w:r w:rsidR="0056440F" w:rsidRPr="0056440F">
          <w:rPr>
            <w:rStyle w:val="Hyperlink"/>
          </w:rPr>
          <w:t>https://www.ahw.org.nz/Portals/5/Resources/Documents-other/2020/Road_map_for_alcohol_pricing_policies-Final_version_Aug_6_2020.pdf</w:t>
        </w:r>
      </w:hyperlink>
      <w:r w:rsidRPr="00C000B2">
        <w:t xml:space="preserve"> (accessed 29 October 2021).</w:t>
      </w:r>
    </w:p>
    <w:p w14:paraId="1C7692D1" w14:textId="77777777" w:rsidR="00EF27EC" w:rsidRPr="00C000B2" w:rsidRDefault="00EF27EC" w:rsidP="00043D21">
      <w:pPr>
        <w:pStyle w:val="References"/>
      </w:pPr>
      <w:r w:rsidRPr="00C000B2">
        <w:t xml:space="preserve">Ngo AP, Wang X, Slater S, et al. 2021. Alcohol excise taxes as a percentage of retail alcohol prices in 26 OECD countries. </w:t>
      </w:r>
      <w:r w:rsidRPr="00C000B2">
        <w:rPr>
          <w:i/>
        </w:rPr>
        <w:t xml:space="preserve">Drug and Alcohol Dependence </w:t>
      </w:r>
      <w:r w:rsidRPr="00C000B2">
        <w:t>219: 108415. DOI: 10.1016/j.drugalcdep.2020.108415 (accessed 30 October 2021).</w:t>
      </w:r>
    </w:p>
    <w:p w14:paraId="0BEB2EF3" w14:textId="77777777" w:rsidR="00EF27EC" w:rsidRPr="00C000B2" w:rsidRDefault="00EF27EC" w:rsidP="00043D21">
      <w:pPr>
        <w:pStyle w:val="References"/>
      </w:pPr>
      <w:r w:rsidRPr="00C000B2">
        <w:t xml:space="preserve">Alcohol Healthwatch. 2019. </w:t>
      </w:r>
      <w:r w:rsidRPr="0056440F">
        <w:rPr>
          <w:i/>
        </w:rPr>
        <w:t xml:space="preserve">UMR </w:t>
      </w:r>
      <w:r w:rsidR="0056440F">
        <w:rPr>
          <w:i/>
        </w:rPr>
        <w:t>P</w:t>
      </w:r>
      <w:r w:rsidRPr="0056440F">
        <w:rPr>
          <w:i/>
        </w:rPr>
        <w:t xml:space="preserve">ublic </w:t>
      </w:r>
      <w:r w:rsidR="0056440F">
        <w:rPr>
          <w:i/>
        </w:rPr>
        <w:t>O</w:t>
      </w:r>
      <w:r w:rsidRPr="0056440F">
        <w:rPr>
          <w:i/>
        </w:rPr>
        <w:t xml:space="preserve">pinion </w:t>
      </w:r>
      <w:r w:rsidR="0056440F">
        <w:rPr>
          <w:i/>
        </w:rPr>
        <w:t>P</w:t>
      </w:r>
      <w:r w:rsidRPr="0056440F">
        <w:rPr>
          <w:i/>
        </w:rPr>
        <w:t xml:space="preserve">oll: </w:t>
      </w:r>
      <w:r w:rsidR="0056440F">
        <w:rPr>
          <w:i/>
        </w:rPr>
        <w:t>S</w:t>
      </w:r>
      <w:r w:rsidRPr="0056440F">
        <w:rPr>
          <w:i/>
        </w:rPr>
        <w:t>upport for alcohol policies</w:t>
      </w:r>
      <w:r w:rsidRPr="00C000B2">
        <w:t>. Auckland: Alcohol Healthwatch.</w:t>
      </w:r>
    </w:p>
    <w:p w14:paraId="5874DDA4" w14:textId="77777777" w:rsidR="00EF27EC" w:rsidRPr="00C000B2" w:rsidRDefault="00EF27EC" w:rsidP="00043D21">
      <w:pPr>
        <w:pStyle w:val="References"/>
      </w:pPr>
      <w:r w:rsidRPr="00C000B2">
        <w:t xml:space="preserve">O’Donnell A, Anderson P, </w:t>
      </w:r>
      <w:proofErr w:type="spellStart"/>
      <w:r w:rsidRPr="00C000B2">
        <w:t>Jané-Llopis</w:t>
      </w:r>
      <w:proofErr w:type="spellEnd"/>
      <w:r w:rsidRPr="00C000B2">
        <w:t xml:space="preserve"> E, et al. 2019. Immediate impact of minimum unit pricing on alcohol purchases in Scotland: controlled interrupted time series analysis for 2015-18. </w:t>
      </w:r>
      <w:r w:rsidRPr="00C000B2">
        <w:rPr>
          <w:i/>
        </w:rPr>
        <w:t xml:space="preserve">BMJ </w:t>
      </w:r>
      <w:r w:rsidRPr="00C000B2">
        <w:t>366: l5274.</w:t>
      </w:r>
    </w:p>
    <w:p w14:paraId="1667D3B8" w14:textId="77777777" w:rsidR="00EF27EC" w:rsidRPr="00C000B2" w:rsidRDefault="00EF27EC" w:rsidP="00043D21">
      <w:pPr>
        <w:pStyle w:val="References"/>
      </w:pPr>
      <w:r w:rsidRPr="00C000B2">
        <w:t xml:space="preserve">Stockwell T, Auld MC, Zhao J, et al. 2012. Does minimum pricing reduce alcohol consumption? The experience of a Canadian province. </w:t>
      </w:r>
      <w:r w:rsidRPr="00C000B2">
        <w:rPr>
          <w:i/>
        </w:rPr>
        <w:t xml:space="preserve">Addiction </w:t>
      </w:r>
      <w:r w:rsidRPr="00C000B2">
        <w:t>107(5): 912–20.</w:t>
      </w:r>
    </w:p>
    <w:p w14:paraId="2831E5FA" w14:textId="77777777" w:rsidR="00EF27EC" w:rsidRPr="00C000B2" w:rsidRDefault="00EF27EC" w:rsidP="00043D21">
      <w:pPr>
        <w:pStyle w:val="References"/>
      </w:pPr>
      <w:r w:rsidRPr="00C000B2">
        <w:t xml:space="preserve">Jiang H, Livingston M, Room R, et al. 2020. Modelling the effects of alcohol pricing policies on alcohol consumption in subpopulations in Australia. </w:t>
      </w:r>
      <w:r w:rsidRPr="00C000B2">
        <w:rPr>
          <w:i/>
        </w:rPr>
        <w:t xml:space="preserve">Addiction </w:t>
      </w:r>
      <w:r w:rsidRPr="00C000B2">
        <w:t>115(6):</w:t>
      </w:r>
      <w:r w:rsidR="0056440F">
        <w:t> </w:t>
      </w:r>
      <w:r w:rsidRPr="00C000B2">
        <w:t>1038–49.</w:t>
      </w:r>
    </w:p>
    <w:p w14:paraId="1D508123" w14:textId="77777777" w:rsidR="00EF27EC" w:rsidRPr="00C000B2" w:rsidRDefault="00EF27EC" w:rsidP="00043D21">
      <w:pPr>
        <w:pStyle w:val="References"/>
      </w:pPr>
      <w:r w:rsidRPr="00C000B2">
        <w:t xml:space="preserve">Anderson P, O’Donnell A, </w:t>
      </w:r>
      <w:proofErr w:type="spellStart"/>
      <w:r w:rsidRPr="00C000B2">
        <w:t>Kaner</w:t>
      </w:r>
      <w:proofErr w:type="spellEnd"/>
      <w:r w:rsidRPr="00C000B2">
        <w:t xml:space="preserve"> E, et al. 2021. Impact of minimum unit pricing on alcohol purchases in Scotland and Wales: controlled interrupted time series analyses. </w:t>
      </w:r>
      <w:r w:rsidRPr="00C000B2">
        <w:rPr>
          <w:i/>
        </w:rPr>
        <w:t>The Lancet Public Health</w:t>
      </w:r>
      <w:r w:rsidRPr="00C000B2">
        <w:t xml:space="preserve"> 6(8): e557</w:t>
      </w:r>
      <w:r w:rsidR="0056440F">
        <w:t>–</w:t>
      </w:r>
      <w:r w:rsidRPr="00C000B2">
        <w:t>e65.</w:t>
      </w:r>
    </w:p>
    <w:p w14:paraId="3476E2F9" w14:textId="77777777" w:rsidR="00EF27EC" w:rsidRPr="00C000B2" w:rsidRDefault="00EF27EC" w:rsidP="00043D21">
      <w:pPr>
        <w:pStyle w:val="References"/>
      </w:pPr>
      <w:proofErr w:type="spellStart"/>
      <w:r w:rsidRPr="00C000B2">
        <w:t>Coomber</w:t>
      </w:r>
      <w:proofErr w:type="spellEnd"/>
      <w:r w:rsidRPr="00C000B2">
        <w:t xml:space="preserve"> K, Miller PG, Taylor N, et al. 2020. </w:t>
      </w:r>
      <w:r w:rsidRPr="0056440F">
        <w:rPr>
          <w:i/>
        </w:rPr>
        <w:t>I</w:t>
      </w:r>
      <w:r w:rsidRPr="00C000B2">
        <w:rPr>
          <w:i/>
        </w:rPr>
        <w:t xml:space="preserve">nvestigating the </w:t>
      </w:r>
      <w:r w:rsidR="0056440F">
        <w:rPr>
          <w:i/>
        </w:rPr>
        <w:t>I</w:t>
      </w:r>
      <w:r w:rsidRPr="00C000B2">
        <w:rPr>
          <w:i/>
        </w:rPr>
        <w:t xml:space="preserve">ntroduction of the </w:t>
      </w:r>
      <w:r w:rsidR="0056440F">
        <w:rPr>
          <w:i/>
        </w:rPr>
        <w:t>A</w:t>
      </w:r>
      <w:r w:rsidRPr="00C000B2">
        <w:rPr>
          <w:i/>
        </w:rPr>
        <w:t xml:space="preserve">lcohol </w:t>
      </w:r>
      <w:r w:rsidR="0056440F">
        <w:rPr>
          <w:i/>
        </w:rPr>
        <w:t>M</w:t>
      </w:r>
      <w:r w:rsidRPr="00C000B2">
        <w:rPr>
          <w:i/>
        </w:rPr>
        <w:t xml:space="preserve">inimum </w:t>
      </w:r>
      <w:r w:rsidR="0056440F">
        <w:rPr>
          <w:i/>
        </w:rPr>
        <w:t>U</w:t>
      </w:r>
      <w:r w:rsidRPr="00C000B2">
        <w:rPr>
          <w:i/>
        </w:rPr>
        <w:t xml:space="preserve">nit </w:t>
      </w:r>
      <w:r w:rsidR="0056440F">
        <w:rPr>
          <w:i/>
        </w:rPr>
        <w:t>P</w:t>
      </w:r>
      <w:r w:rsidRPr="00C000B2">
        <w:rPr>
          <w:i/>
        </w:rPr>
        <w:t xml:space="preserve">rice in the Northern Territory. Summary report. </w:t>
      </w:r>
      <w:r w:rsidRPr="00C000B2">
        <w:t>Deakin University, Geelong Australia. Prepared for Northern Territory Department of Health.</w:t>
      </w:r>
    </w:p>
    <w:p w14:paraId="4FEE3A54" w14:textId="77777777" w:rsidR="00EF27EC" w:rsidRPr="00C000B2" w:rsidRDefault="00EF27EC" w:rsidP="00043D21">
      <w:pPr>
        <w:pStyle w:val="References"/>
      </w:pPr>
      <w:r w:rsidRPr="00C000B2">
        <w:lastRenderedPageBreak/>
        <w:t xml:space="preserve">Alcohol Healthwatch. 2021. </w:t>
      </w:r>
      <w:r w:rsidRPr="00C000B2">
        <w:rPr>
          <w:i/>
        </w:rPr>
        <w:t xml:space="preserve">Cheap Drinks: An exploratory audit of alcohol prices at off-licences across </w:t>
      </w:r>
      <w:proofErr w:type="spellStart"/>
      <w:r w:rsidRPr="00C000B2">
        <w:rPr>
          <w:i/>
        </w:rPr>
        <w:t>Tāmaki</w:t>
      </w:r>
      <w:proofErr w:type="spellEnd"/>
      <w:r w:rsidRPr="00C000B2">
        <w:rPr>
          <w:i/>
        </w:rPr>
        <w:t xml:space="preserve"> Makaurau / Auckland</w:t>
      </w:r>
      <w:r w:rsidRPr="00C000B2">
        <w:t>. Auckland: Alcohol Healthwatch.</w:t>
      </w:r>
    </w:p>
    <w:p w14:paraId="01409A7C" w14:textId="77777777" w:rsidR="00EF27EC" w:rsidRPr="00C000B2" w:rsidRDefault="00EF27EC" w:rsidP="00043D21">
      <w:pPr>
        <w:pStyle w:val="References"/>
      </w:pPr>
      <w:r w:rsidRPr="00C000B2">
        <w:t xml:space="preserve">Foster S, Trapp G, Hooper P, et al. 2017. Liquor landscapes: does access to alcohol outlets influence alcohol consumption in young adults? </w:t>
      </w:r>
      <w:r w:rsidRPr="00C000B2">
        <w:rPr>
          <w:i/>
        </w:rPr>
        <w:t xml:space="preserve">Health &amp; Place </w:t>
      </w:r>
      <w:r w:rsidRPr="00C000B2">
        <w:t>45: 17–23.</w:t>
      </w:r>
    </w:p>
    <w:p w14:paraId="26734517" w14:textId="77777777" w:rsidR="00EF27EC" w:rsidRPr="00C000B2" w:rsidRDefault="00EF27EC" w:rsidP="00043D21">
      <w:pPr>
        <w:pStyle w:val="References"/>
      </w:pPr>
      <w:r w:rsidRPr="00C000B2">
        <w:t xml:space="preserve">Connor JL, </w:t>
      </w:r>
      <w:proofErr w:type="spellStart"/>
      <w:r w:rsidRPr="00C000B2">
        <w:t>Kypri</w:t>
      </w:r>
      <w:proofErr w:type="spellEnd"/>
      <w:r w:rsidRPr="00C000B2">
        <w:t xml:space="preserve"> K, Bell ML, et al. 2011. Alcohol outlet density, levels of drinking and alcohol-related harm in New Zealand: a national study. </w:t>
      </w:r>
      <w:r w:rsidRPr="00C000B2">
        <w:rPr>
          <w:i/>
        </w:rPr>
        <w:t xml:space="preserve">Journal of Epidemiology and Community Health </w:t>
      </w:r>
      <w:r w:rsidRPr="00C000B2">
        <w:t>65(10): 841–6.</w:t>
      </w:r>
    </w:p>
    <w:p w14:paraId="2F2E461E" w14:textId="77777777" w:rsidR="00EF27EC" w:rsidRPr="00C000B2" w:rsidRDefault="00EF27EC" w:rsidP="00043D21">
      <w:pPr>
        <w:pStyle w:val="References"/>
      </w:pPr>
      <w:r w:rsidRPr="00C000B2">
        <w:t xml:space="preserve">Cameron MP, Cochrane W, Livingston M. 2019. </w:t>
      </w:r>
      <w:r w:rsidRPr="0056440F">
        <w:rPr>
          <w:i/>
        </w:rPr>
        <w:t>T</w:t>
      </w:r>
      <w:r w:rsidRPr="00C000B2">
        <w:rPr>
          <w:i/>
        </w:rPr>
        <w:t xml:space="preserve">he Relationship </w:t>
      </w:r>
      <w:r w:rsidR="0056440F">
        <w:rPr>
          <w:i/>
        </w:rPr>
        <w:t>b</w:t>
      </w:r>
      <w:r w:rsidRPr="00C000B2">
        <w:rPr>
          <w:i/>
        </w:rPr>
        <w:t>etween Alcohol Outlets and Harm</w:t>
      </w:r>
      <w:r w:rsidR="0056440F">
        <w:rPr>
          <w:i/>
        </w:rPr>
        <w:t>:</w:t>
      </w:r>
      <w:r w:rsidRPr="00C000B2">
        <w:rPr>
          <w:i/>
        </w:rPr>
        <w:t xml:space="preserve"> A spatial panel analysis for New Zealand, 2007–2014</w:t>
      </w:r>
      <w:r w:rsidRPr="00C000B2">
        <w:t xml:space="preserve">. Wellington: Health Promotion Agency. URL: </w:t>
      </w:r>
      <w:hyperlink r:id="rId131" w:history="1">
        <w:r w:rsidR="0056440F" w:rsidRPr="0056440F">
          <w:rPr>
            <w:rStyle w:val="Hyperlink"/>
          </w:rPr>
          <w:t>http://www.hpa.org.nz/research-library</w:t>
        </w:r>
      </w:hyperlink>
      <w:r w:rsidRPr="00C000B2">
        <w:t xml:space="preserve"> (accessed 28 October 2021).</w:t>
      </w:r>
    </w:p>
    <w:p w14:paraId="1D44CC2C" w14:textId="77777777" w:rsidR="00EF27EC" w:rsidRPr="00C000B2" w:rsidRDefault="00EF27EC" w:rsidP="00043D21">
      <w:pPr>
        <w:pStyle w:val="References"/>
      </w:pPr>
      <w:r w:rsidRPr="00C000B2">
        <w:t xml:space="preserve">Carpenter C, </w:t>
      </w:r>
      <w:proofErr w:type="spellStart"/>
      <w:r w:rsidRPr="00C000B2">
        <w:t>Dobkin</w:t>
      </w:r>
      <w:proofErr w:type="spellEnd"/>
      <w:r w:rsidRPr="00C000B2">
        <w:t xml:space="preserve"> C. 2011. The minimum legal drinking age and public health. </w:t>
      </w:r>
      <w:r w:rsidRPr="00C000B2">
        <w:rPr>
          <w:i/>
        </w:rPr>
        <w:t xml:space="preserve">Journal of Economic Perspectives </w:t>
      </w:r>
      <w:r w:rsidRPr="00C000B2">
        <w:t>25(2): 133–56.</w:t>
      </w:r>
    </w:p>
    <w:p w14:paraId="735978F4" w14:textId="77777777" w:rsidR="00EF27EC" w:rsidRPr="00C000B2" w:rsidRDefault="00EF27EC" w:rsidP="00043D21">
      <w:pPr>
        <w:pStyle w:val="References"/>
      </w:pPr>
      <w:r w:rsidRPr="00C000B2">
        <w:t xml:space="preserve">Plunk AD, </w:t>
      </w:r>
      <w:proofErr w:type="spellStart"/>
      <w:r w:rsidRPr="00C000B2">
        <w:t>Cavazaos-Rehg</w:t>
      </w:r>
      <w:proofErr w:type="spellEnd"/>
      <w:r w:rsidRPr="00C000B2">
        <w:t xml:space="preserve"> P, </w:t>
      </w:r>
      <w:proofErr w:type="spellStart"/>
      <w:r w:rsidRPr="00C000B2">
        <w:t>Bierut</w:t>
      </w:r>
      <w:proofErr w:type="spellEnd"/>
      <w:r w:rsidRPr="00C000B2">
        <w:t xml:space="preserve"> LJ, et al. 2013. The persistent effects of minimum legal drinking age laws on drinking patterns later in life. </w:t>
      </w:r>
      <w:r w:rsidRPr="00C000B2">
        <w:rPr>
          <w:i/>
        </w:rPr>
        <w:t xml:space="preserve">Alcoholism: Clinical and Experimental Research </w:t>
      </w:r>
      <w:r w:rsidRPr="00C000B2">
        <w:t>37(3): 463–9.</w:t>
      </w:r>
    </w:p>
    <w:p w14:paraId="4A821D57" w14:textId="77777777" w:rsidR="00EF27EC" w:rsidRPr="00C000B2" w:rsidRDefault="00EF27EC" w:rsidP="00043D21">
      <w:pPr>
        <w:pStyle w:val="References"/>
      </w:pPr>
      <w:r w:rsidRPr="00C000B2">
        <w:t xml:space="preserve">Towers A, Sheridan J, Newcombe D, et al. 2018. </w:t>
      </w:r>
      <w:r w:rsidRPr="0056440F">
        <w:rPr>
          <w:i/>
        </w:rPr>
        <w:t>New Zealanders’ alcohol consumption patterns across the lifespan</w:t>
      </w:r>
      <w:r w:rsidRPr="00C000B2">
        <w:t xml:space="preserve">. Te Hiringa Hauora | Health Promotion Agency. URL: </w:t>
      </w:r>
      <w:hyperlink r:id="rId132" w:history="1">
        <w:r w:rsidR="0056440F" w:rsidRPr="0056440F">
          <w:rPr>
            <w:rStyle w:val="Hyperlink"/>
          </w:rPr>
          <w:t>https://www.hpa.org.nz/sites/default/files/New%20Zealanders%20alcohol%20consumption%20across%20the%20lifespan%20September%202018.pdf</w:t>
        </w:r>
      </w:hyperlink>
      <w:r w:rsidRPr="00C000B2">
        <w:rPr>
          <w:noProof/>
          <w:lang w:eastAsia="en-NZ"/>
        </w:rPr>
        <mc:AlternateContent>
          <mc:Choice Requires="wpg">
            <w:drawing>
              <wp:anchor distT="0" distB="0" distL="114300" distR="114300" simplePos="0" relativeHeight="252015616" behindDoc="0" locked="0" layoutInCell="1" allowOverlap="1" wp14:anchorId="6A9D7699" wp14:editId="55672ECD">
                <wp:simplePos x="0" y="0"/>
                <wp:positionH relativeFrom="page">
                  <wp:posOffset>1270</wp:posOffset>
                </wp:positionH>
                <wp:positionV relativeFrom="page">
                  <wp:posOffset>9752330</wp:posOffset>
                </wp:positionV>
                <wp:extent cx="493395" cy="483870"/>
                <wp:effectExtent l="1270" t="8255" r="635" b="3175"/>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 cy="483870"/>
                          <a:chOff x="2" y="15358"/>
                          <a:chExt cx="777" cy="762"/>
                        </a:xfrm>
                      </wpg:grpSpPr>
                      <wps:wsp>
                        <wps:cNvPr id="1387" name="docshape1850"/>
                        <wps:cNvSpPr>
                          <a:spLocks/>
                        </wps:cNvSpPr>
                        <wps:spPr bwMode="auto">
                          <a:xfrm>
                            <a:off x="396" y="15360"/>
                            <a:ext cx="382" cy="759"/>
                          </a:xfrm>
                          <a:custGeom>
                            <a:avLst/>
                            <a:gdLst>
                              <a:gd name="T0" fmla="+- 0 423 396"/>
                              <a:gd name="T1" fmla="*/ T0 w 382"/>
                              <a:gd name="T2" fmla="+- 0 16068 15360"/>
                              <a:gd name="T3" fmla="*/ 16068 h 759"/>
                              <a:gd name="T4" fmla="+- 0 440 396"/>
                              <a:gd name="T5" fmla="*/ T4 w 382"/>
                              <a:gd name="T6" fmla="+- 0 16069 15360"/>
                              <a:gd name="T7" fmla="*/ 16069 h 759"/>
                              <a:gd name="T8" fmla="+- 0 459 396"/>
                              <a:gd name="T9" fmla="*/ T8 w 382"/>
                              <a:gd name="T10" fmla="+- 0 16117 15360"/>
                              <a:gd name="T11" fmla="*/ 16117 h 759"/>
                              <a:gd name="T12" fmla="+- 0 486 396"/>
                              <a:gd name="T13" fmla="*/ T12 w 382"/>
                              <a:gd name="T14" fmla="+- 0 16117 15360"/>
                              <a:gd name="T15" fmla="*/ 16117 h 759"/>
                              <a:gd name="T16" fmla="+- 0 508 396"/>
                              <a:gd name="T17" fmla="*/ T16 w 382"/>
                              <a:gd name="T18" fmla="+- 0 16061 15360"/>
                              <a:gd name="T19" fmla="*/ 16061 h 759"/>
                              <a:gd name="T20" fmla="+- 0 548 396"/>
                              <a:gd name="T21" fmla="*/ T20 w 382"/>
                              <a:gd name="T22" fmla="+- 0 15670 15360"/>
                              <a:gd name="T23" fmla="*/ 15670 h 759"/>
                              <a:gd name="T24" fmla="+- 0 544 396"/>
                              <a:gd name="T25" fmla="*/ T24 w 382"/>
                              <a:gd name="T26" fmla="+- 0 15515 15360"/>
                              <a:gd name="T27" fmla="*/ 15515 h 759"/>
                              <a:gd name="T28" fmla="+- 0 542 396"/>
                              <a:gd name="T29" fmla="*/ T28 w 382"/>
                              <a:gd name="T30" fmla="+- 0 15435 15360"/>
                              <a:gd name="T31" fmla="*/ 15435 h 759"/>
                              <a:gd name="T32" fmla="+- 0 569 396"/>
                              <a:gd name="T33" fmla="*/ T32 w 382"/>
                              <a:gd name="T34" fmla="+- 0 16084 15360"/>
                              <a:gd name="T35" fmla="*/ 16084 h 759"/>
                              <a:gd name="T36" fmla="+- 0 571 396"/>
                              <a:gd name="T37" fmla="*/ T36 w 382"/>
                              <a:gd name="T38" fmla="+- 0 15910 15360"/>
                              <a:gd name="T39" fmla="*/ 15910 h 759"/>
                              <a:gd name="T40" fmla="+- 0 569 396"/>
                              <a:gd name="T41" fmla="*/ T40 w 382"/>
                              <a:gd name="T42" fmla="+- 0 15655 15360"/>
                              <a:gd name="T43" fmla="*/ 15655 h 759"/>
                              <a:gd name="T44" fmla="+- 0 564 396"/>
                              <a:gd name="T45" fmla="*/ T44 w 382"/>
                              <a:gd name="T46" fmla="+- 0 15537 15360"/>
                              <a:gd name="T47" fmla="*/ 15537 h 759"/>
                              <a:gd name="T48" fmla="+- 0 563 396"/>
                              <a:gd name="T49" fmla="*/ T48 w 382"/>
                              <a:gd name="T50" fmla="+- 0 15453 15360"/>
                              <a:gd name="T51" fmla="*/ 15453 h 759"/>
                              <a:gd name="T52" fmla="+- 0 590 396"/>
                              <a:gd name="T53" fmla="*/ T52 w 382"/>
                              <a:gd name="T54" fmla="+- 0 16070 15360"/>
                              <a:gd name="T55" fmla="*/ 16070 h 759"/>
                              <a:gd name="T56" fmla="+- 0 591 396"/>
                              <a:gd name="T57" fmla="*/ T56 w 382"/>
                              <a:gd name="T58" fmla="+- 0 15778 15360"/>
                              <a:gd name="T59" fmla="*/ 15778 h 759"/>
                              <a:gd name="T60" fmla="+- 0 590 396"/>
                              <a:gd name="T61" fmla="*/ T60 w 382"/>
                              <a:gd name="T62" fmla="+- 0 15406 15360"/>
                              <a:gd name="T63" fmla="*/ 15406 h 759"/>
                              <a:gd name="T64" fmla="+- 0 606 396"/>
                              <a:gd name="T65" fmla="*/ T64 w 382"/>
                              <a:gd name="T66" fmla="+- 0 15962 15360"/>
                              <a:gd name="T67" fmla="*/ 15962 h 759"/>
                              <a:gd name="T68" fmla="+- 0 604 396"/>
                              <a:gd name="T69" fmla="*/ T68 w 382"/>
                              <a:gd name="T70" fmla="+- 0 15864 15360"/>
                              <a:gd name="T71" fmla="*/ 15864 h 759"/>
                              <a:gd name="T72" fmla="+- 0 610 396"/>
                              <a:gd name="T73" fmla="*/ T72 w 382"/>
                              <a:gd name="T74" fmla="+- 0 15683 15360"/>
                              <a:gd name="T75" fmla="*/ 15683 h 759"/>
                              <a:gd name="T76" fmla="+- 0 612 396"/>
                              <a:gd name="T77" fmla="*/ T76 w 382"/>
                              <a:gd name="T78" fmla="+- 0 15428 15360"/>
                              <a:gd name="T79" fmla="*/ 15428 h 759"/>
                              <a:gd name="T80" fmla="+- 0 631 396"/>
                              <a:gd name="T81" fmla="*/ T80 w 382"/>
                              <a:gd name="T82" fmla="+- 0 15815 15360"/>
                              <a:gd name="T83" fmla="*/ 15815 h 759"/>
                              <a:gd name="T84" fmla="+- 0 627 396"/>
                              <a:gd name="T85" fmla="*/ T84 w 382"/>
                              <a:gd name="T86" fmla="+- 0 15618 15360"/>
                              <a:gd name="T87" fmla="*/ 15618 h 759"/>
                              <a:gd name="T88" fmla="+- 0 625 396"/>
                              <a:gd name="T89" fmla="*/ T88 w 382"/>
                              <a:gd name="T90" fmla="+- 0 15520 15360"/>
                              <a:gd name="T91" fmla="*/ 15520 h 759"/>
                              <a:gd name="T92" fmla="+- 0 652 396"/>
                              <a:gd name="T93" fmla="*/ T92 w 382"/>
                              <a:gd name="T94" fmla="+- 0 16073 15360"/>
                              <a:gd name="T95" fmla="*/ 16073 h 759"/>
                              <a:gd name="T96" fmla="+- 0 654 396"/>
                              <a:gd name="T97" fmla="*/ T96 w 382"/>
                              <a:gd name="T98" fmla="+- 0 15843 15360"/>
                              <a:gd name="T99" fmla="*/ 15843 h 759"/>
                              <a:gd name="T100" fmla="+- 0 652 396"/>
                              <a:gd name="T101" fmla="*/ T100 w 382"/>
                              <a:gd name="T102" fmla="+- 0 15470 15360"/>
                              <a:gd name="T103" fmla="*/ 15470 h 759"/>
                              <a:gd name="T104" fmla="+- 0 668 396"/>
                              <a:gd name="T105" fmla="*/ T104 w 382"/>
                              <a:gd name="T106" fmla="+- 0 16027 15360"/>
                              <a:gd name="T107" fmla="*/ 16027 h 759"/>
                              <a:gd name="T108" fmla="+- 0 667 396"/>
                              <a:gd name="T109" fmla="*/ T108 w 382"/>
                              <a:gd name="T110" fmla="+- 0 15942 15360"/>
                              <a:gd name="T111" fmla="*/ 15942 h 759"/>
                              <a:gd name="T112" fmla="+- 0 673 396"/>
                              <a:gd name="T113" fmla="*/ T112 w 382"/>
                              <a:gd name="T114" fmla="+- 0 15804 15360"/>
                              <a:gd name="T115" fmla="*/ 15804 h 759"/>
                              <a:gd name="T116" fmla="+- 0 675 396"/>
                              <a:gd name="T117" fmla="*/ T116 w 382"/>
                              <a:gd name="T118" fmla="+- 0 15660 15360"/>
                              <a:gd name="T119" fmla="*/ 15660 h 759"/>
                              <a:gd name="T120" fmla="+- 0 673 396"/>
                              <a:gd name="T121" fmla="*/ T120 w 382"/>
                              <a:gd name="T122" fmla="+- 0 15391 15360"/>
                              <a:gd name="T123" fmla="*/ 15391 h 759"/>
                              <a:gd name="T124" fmla="+- 0 689 396"/>
                              <a:gd name="T125" fmla="*/ T124 w 382"/>
                              <a:gd name="T126" fmla="+- 0 16042 15360"/>
                              <a:gd name="T127" fmla="*/ 16042 h 759"/>
                              <a:gd name="T128" fmla="+- 0 687 396"/>
                              <a:gd name="T129" fmla="*/ T128 w 382"/>
                              <a:gd name="T130" fmla="+- 0 15967 15360"/>
                              <a:gd name="T131" fmla="*/ 15967 h 759"/>
                              <a:gd name="T132" fmla="+- 0 694 396"/>
                              <a:gd name="T133" fmla="*/ T132 w 382"/>
                              <a:gd name="T134" fmla="+- 0 15805 15360"/>
                              <a:gd name="T135" fmla="*/ 15805 h 759"/>
                              <a:gd name="T136" fmla="+- 0 695 396"/>
                              <a:gd name="T137" fmla="*/ T136 w 382"/>
                              <a:gd name="T138" fmla="+- 0 15674 15360"/>
                              <a:gd name="T139" fmla="*/ 15674 h 759"/>
                              <a:gd name="T140" fmla="+- 0 694 396"/>
                              <a:gd name="T141" fmla="*/ T140 w 382"/>
                              <a:gd name="T142" fmla="+- 0 15380 15360"/>
                              <a:gd name="T143" fmla="*/ 15380 h 759"/>
                              <a:gd name="T144" fmla="+- 0 710 396"/>
                              <a:gd name="T145" fmla="*/ T144 w 382"/>
                              <a:gd name="T146" fmla="+- 0 16052 15360"/>
                              <a:gd name="T147" fmla="*/ 16052 h 759"/>
                              <a:gd name="T148" fmla="+- 0 708 396"/>
                              <a:gd name="T149" fmla="*/ T148 w 382"/>
                              <a:gd name="T150" fmla="+- 0 15984 15360"/>
                              <a:gd name="T151" fmla="*/ 15984 h 759"/>
                              <a:gd name="T152" fmla="+- 0 714 396"/>
                              <a:gd name="T153" fmla="*/ T152 w 382"/>
                              <a:gd name="T154" fmla="+- 0 15794 15360"/>
                              <a:gd name="T155" fmla="*/ 15794 h 759"/>
                              <a:gd name="T156" fmla="+- 0 716 396"/>
                              <a:gd name="T157" fmla="*/ T156 w 382"/>
                              <a:gd name="T158" fmla="+- 0 15685 15360"/>
                              <a:gd name="T159" fmla="*/ 15685 h 759"/>
                              <a:gd name="T160" fmla="+- 0 714 396"/>
                              <a:gd name="T161" fmla="*/ T160 w 382"/>
                              <a:gd name="T162" fmla="+- 0 15371 15360"/>
                              <a:gd name="T163" fmla="*/ 15371 h 759"/>
                              <a:gd name="T164" fmla="+- 0 731 396"/>
                              <a:gd name="T165" fmla="*/ T164 w 382"/>
                              <a:gd name="T166" fmla="+- 0 16060 15360"/>
                              <a:gd name="T167" fmla="*/ 16060 h 759"/>
                              <a:gd name="T168" fmla="+- 0 729 396"/>
                              <a:gd name="T169" fmla="*/ T168 w 382"/>
                              <a:gd name="T170" fmla="+- 0 15996 15360"/>
                              <a:gd name="T171" fmla="*/ 15996 h 759"/>
                              <a:gd name="T172" fmla="+- 0 735 396"/>
                              <a:gd name="T173" fmla="*/ T172 w 382"/>
                              <a:gd name="T174" fmla="+- 0 15885 15360"/>
                              <a:gd name="T175" fmla="*/ 15885 h 759"/>
                              <a:gd name="T176" fmla="+- 0 737 396"/>
                              <a:gd name="T177" fmla="*/ T176 w 382"/>
                              <a:gd name="T178" fmla="+- 0 15693 15360"/>
                              <a:gd name="T179" fmla="*/ 15693 h 759"/>
                              <a:gd name="T180" fmla="+- 0 735 396"/>
                              <a:gd name="T181" fmla="*/ T180 w 382"/>
                              <a:gd name="T182" fmla="+- 0 15479 15360"/>
                              <a:gd name="T183" fmla="*/ 15479 h 759"/>
                              <a:gd name="T184" fmla="+- 0 731 396"/>
                              <a:gd name="T185" fmla="*/ T184 w 382"/>
                              <a:gd name="T186" fmla="+- 0 15365 15360"/>
                              <a:gd name="T187" fmla="*/ 15365 h 759"/>
                              <a:gd name="T188" fmla="+- 0 750 396"/>
                              <a:gd name="T189" fmla="*/ T188 w 382"/>
                              <a:gd name="T190" fmla="+- 0 16116 15360"/>
                              <a:gd name="T191" fmla="*/ 16116 h 759"/>
                              <a:gd name="T192" fmla="+- 0 756 396"/>
                              <a:gd name="T193" fmla="*/ T192 w 382"/>
                              <a:gd name="T194" fmla="+- 0 16008 15360"/>
                              <a:gd name="T195" fmla="*/ 16008 h 759"/>
                              <a:gd name="T196" fmla="+- 0 758 396"/>
                              <a:gd name="T197" fmla="*/ T196 w 382"/>
                              <a:gd name="T198" fmla="+- 0 15842 15360"/>
                              <a:gd name="T199" fmla="*/ 15842 h 759"/>
                              <a:gd name="T200" fmla="+- 0 756 396"/>
                              <a:gd name="T201" fmla="*/ T200 w 382"/>
                              <a:gd name="T202" fmla="+- 0 15584 15360"/>
                              <a:gd name="T203" fmla="*/ 15584 h 759"/>
                              <a:gd name="T204" fmla="+- 0 751 396"/>
                              <a:gd name="T205" fmla="*/ T204 w 382"/>
                              <a:gd name="T206" fmla="+- 0 15470 15360"/>
                              <a:gd name="T207" fmla="*/ 15470 h 759"/>
                              <a:gd name="T208" fmla="+- 0 750 396"/>
                              <a:gd name="T209" fmla="*/ T208 w 382"/>
                              <a:gd name="T210" fmla="+- 0 15411 15360"/>
                              <a:gd name="T211" fmla="*/ 15411 h 759"/>
                              <a:gd name="T212" fmla="+- 0 777 396"/>
                              <a:gd name="T213" fmla="*/ T212 w 382"/>
                              <a:gd name="T214" fmla="+- 0 16119 15360"/>
                              <a:gd name="T215" fmla="*/ 16119 h 759"/>
                              <a:gd name="T216" fmla="+- 0 778 396"/>
                              <a:gd name="T217" fmla="*/ T216 w 382"/>
                              <a:gd name="T218" fmla="+- 0 15961 15360"/>
                              <a:gd name="T219" fmla="*/ 15961 h 759"/>
                              <a:gd name="T220" fmla="+- 0 777 396"/>
                              <a:gd name="T221" fmla="*/ T220 w 382"/>
                              <a:gd name="T222" fmla="+- 0 15699 15360"/>
                              <a:gd name="T223" fmla="*/ 15699 h 759"/>
                              <a:gd name="T224" fmla="+- 0 772 396"/>
                              <a:gd name="T225" fmla="*/ T224 w 382"/>
                              <a:gd name="T226" fmla="+- 0 15590 15360"/>
                              <a:gd name="T227" fmla="*/ 15590 h 759"/>
                              <a:gd name="T228" fmla="+- 0 770 396"/>
                              <a:gd name="T229" fmla="*/ T228 w 382"/>
                              <a:gd name="T230" fmla="+- 0 15517 15360"/>
                              <a:gd name="T231" fmla="*/ 15517 h 759"/>
                              <a:gd name="T232" fmla="+- 0 777 396"/>
                              <a:gd name="T233" fmla="*/ T232 w 382"/>
                              <a:gd name="T234" fmla="+- 0 15409 15360"/>
                              <a:gd name="T235" fmla="*/ 15409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2" h="759">
                                <a:moveTo>
                                  <a:pt x="8" y="707"/>
                                </a:moveTo>
                                <a:lnTo>
                                  <a:pt x="7" y="705"/>
                                </a:lnTo>
                                <a:lnTo>
                                  <a:pt x="4" y="705"/>
                                </a:lnTo>
                                <a:lnTo>
                                  <a:pt x="2" y="705"/>
                                </a:lnTo>
                                <a:lnTo>
                                  <a:pt x="0" y="707"/>
                                </a:lnTo>
                                <a:lnTo>
                                  <a:pt x="0" y="753"/>
                                </a:lnTo>
                                <a:lnTo>
                                  <a:pt x="2" y="755"/>
                                </a:lnTo>
                                <a:lnTo>
                                  <a:pt x="7" y="755"/>
                                </a:lnTo>
                                <a:lnTo>
                                  <a:pt x="8" y="753"/>
                                </a:lnTo>
                                <a:lnTo>
                                  <a:pt x="8" y="707"/>
                                </a:lnTo>
                                <a:close/>
                                <a:moveTo>
                                  <a:pt x="29" y="710"/>
                                </a:moveTo>
                                <a:lnTo>
                                  <a:pt x="27" y="708"/>
                                </a:lnTo>
                                <a:lnTo>
                                  <a:pt x="25" y="708"/>
                                </a:lnTo>
                                <a:lnTo>
                                  <a:pt x="23" y="708"/>
                                </a:lnTo>
                                <a:lnTo>
                                  <a:pt x="21" y="710"/>
                                </a:lnTo>
                                <a:lnTo>
                                  <a:pt x="21" y="757"/>
                                </a:lnTo>
                                <a:lnTo>
                                  <a:pt x="23" y="759"/>
                                </a:lnTo>
                                <a:lnTo>
                                  <a:pt x="27" y="759"/>
                                </a:lnTo>
                                <a:lnTo>
                                  <a:pt x="29" y="757"/>
                                </a:lnTo>
                                <a:lnTo>
                                  <a:pt x="29" y="710"/>
                                </a:lnTo>
                                <a:close/>
                                <a:moveTo>
                                  <a:pt x="50" y="711"/>
                                </a:moveTo>
                                <a:lnTo>
                                  <a:pt x="48" y="709"/>
                                </a:lnTo>
                                <a:lnTo>
                                  <a:pt x="46" y="709"/>
                                </a:lnTo>
                                <a:lnTo>
                                  <a:pt x="44" y="709"/>
                                </a:lnTo>
                                <a:lnTo>
                                  <a:pt x="42" y="711"/>
                                </a:lnTo>
                                <a:lnTo>
                                  <a:pt x="42" y="757"/>
                                </a:lnTo>
                                <a:lnTo>
                                  <a:pt x="44" y="759"/>
                                </a:lnTo>
                                <a:lnTo>
                                  <a:pt x="48" y="759"/>
                                </a:lnTo>
                                <a:lnTo>
                                  <a:pt x="50" y="757"/>
                                </a:lnTo>
                                <a:lnTo>
                                  <a:pt x="50" y="711"/>
                                </a:lnTo>
                                <a:close/>
                                <a:moveTo>
                                  <a:pt x="71" y="710"/>
                                </a:moveTo>
                                <a:lnTo>
                                  <a:pt x="69" y="708"/>
                                </a:lnTo>
                                <a:lnTo>
                                  <a:pt x="67" y="708"/>
                                </a:lnTo>
                                <a:lnTo>
                                  <a:pt x="65" y="708"/>
                                </a:lnTo>
                                <a:lnTo>
                                  <a:pt x="63" y="710"/>
                                </a:lnTo>
                                <a:lnTo>
                                  <a:pt x="63" y="757"/>
                                </a:lnTo>
                                <a:lnTo>
                                  <a:pt x="65" y="759"/>
                                </a:lnTo>
                                <a:lnTo>
                                  <a:pt x="69" y="759"/>
                                </a:lnTo>
                                <a:lnTo>
                                  <a:pt x="71" y="757"/>
                                </a:lnTo>
                                <a:lnTo>
                                  <a:pt x="71" y="710"/>
                                </a:lnTo>
                                <a:close/>
                                <a:moveTo>
                                  <a:pt x="91" y="706"/>
                                </a:moveTo>
                                <a:lnTo>
                                  <a:pt x="90" y="704"/>
                                </a:lnTo>
                                <a:lnTo>
                                  <a:pt x="88" y="704"/>
                                </a:lnTo>
                                <a:lnTo>
                                  <a:pt x="85" y="704"/>
                                </a:lnTo>
                                <a:lnTo>
                                  <a:pt x="84" y="706"/>
                                </a:lnTo>
                                <a:lnTo>
                                  <a:pt x="84" y="755"/>
                                </a:lnTo>
                                <a:lnTo>
                                  <a:pt x="85" y="757"/>
                                </a:lnTo>
                                <a:lnTo>
                                  <a:pt x="90" y="757"/>
                                </a:lnTo>
                                <a:lnTo>
                                  <a:pt x="91" y="755"/>
                                </a:lnTo>
                                <a:lnTo>
                                  <a:pt x="91" y="706"/>
                                </a:lnTo>
                                <a:close/>
                                <a:moveTo>
                                  <a:pt x="112" y="701"/>
                                </a:moveTo>
                                <a:lnTo>
                                  <a:pt x="110" y="699"/>
                                </a:lnTo>
                                <a:lnTo>
                                  <a:pt x="108" y="699"/>
                                </a:lnTo>
                                <a:lnTo>
                                  <a:pt x="106" y="699"/>
                                </a:lnTo>
                                <a:lnTo>
                                  <a:pt x="104" y="701"/>
                                </a:lnTo>
                                <a:lnTo>
                                  <a:pt x="104" y="751"/>
                                </a:lnTo>
                                <a:lnTo>
                                  <a:pt x="106" y="753"/>
                                </a:lnTo>
                                <a:lnTo>
                                  <a:pt x="110" y="753"/>
                                </a:lnTo>
                                <a:lnTo>
                                  <a:pt x="112" y="751"/>
                                </a:lnTo>
                                <a:lnTo>
                                  <a:pt x="112" y="701"/>
                                </a:lnTo>
                                <a:close/>
                                <a:moveTo>
                                  <a:pt x="154" y="392"/>
                                </a:moveTo>
                                <a:lnTo>
                                  <a:pt x="152" y="391"/>
                                </a:lnTo>
                                <a:lnTo>
                                  <a:pt x="150" y="391"/>
                                </a:lnTo>
                                <a:lnTo>
                                  <a:pt x="148" y="391"/>
                                </a:lnTo>
                                <a:lnTo>
                                  <a:pt x="146" y="392"/>
                                </a:lnTo>
                                <a:lnTo>
                                  <a:pt x="146" y="446"/>
                                </a:lnTo>
                                <a:lnTo>
                                  <a:pt x="148" y="448"/>
                                </a:lnTo>
                                <a:lnTo>
                                  <a:pt x="152" y="448"/>
                                </a:lnTo>
                                <a:lnTo>
                                  <a:pt x="154" y="446"/>
                                </a:lnTo>
                                <a:lnTo>
                                  <a:pt x="154" y="392"/>
                                </a:lnTo>
                                <a:close/>
                                <a:moveTo>
                                  <a:pt x="154" y="312"/>
                                </a:moveTo>
                                <a:lnTo>
                                  <a:pt x="152" y="310"/>
                                </a:lnTo>
                                <a:lnTo>
                                  <a:pt x="150" y="310"/>
                                </a:lnTo>
                                <a:lnTo>
                                  <a:pt x="148" y="310"/>
                                </a:lnTo>
                                <a:lnTo>
                                  <a:pt x="146" y="312"/>
                                </a:lnTo>
                                <a:lnTo>
                                  <a:pt x="146" y="364"/>
                                </a:lnTo>
                                <a:lnTo>
                                  <a:pt x="148" y="366"/>
                                </a:lnTo>
                                <a:lnTo>
                                  <a:pt x="152" y="366"/>
                                </a:lnTo>
                                <a:lnTo>
                                  <a:pt x="154" y="364"/>
                                </a:lnTo>
                                <a:lnTo>
                                  <a:pt x="154" y="312"/>
                                </a:lnTo>
                                <a:close/>
                                <a:moveTo>
                                  <a:pt x="154" y="156"/>
                                </a:moveTo>
                                <a:lnTo>
                                  <a:pt x="152" y="155"/>
                                </a:lnTo>
                                <a:lnTo>
                                  <a:pt x="150" y="155"/>
                                </a:lnTo>
                                <a:lnTo>
                                  <a:pt x="148" y="155"/>
                                </a:lnTo>
                                <a:lnTo>
                                  <a:pt x="146" y="156"/>
                                </a:lnTo>
                                <a:lnTo>
                                  <a:pt x="146" y="233"/>
                                </a:lnTo>
                                <a:lnTo>
                                  <a:pt x="148" y="234"/>
                                </a:lnTo>
                                <a:lnTo>
                                  <a:pt x="152" y="234"/>
                                </a:lnTo>
                                <a:lnTo>
                                  <a:pt x="154" y="233"/>
                                </a:lnTo>
                                <a:lnTo>
                                  <a:pt x="154" y="156"/>
                                </a:lnTo>
                                <a:close/>
                                <a:moveTo>
                                  <a:pt x="154" y="23"/>
                                </a:moveTo>
                                <a:lnTo>
                                  <a:pt x="152" y="21"/>
                                </a:lnTo>
                                <a:lnTo>
                                  <a:pt x="150" y="21"/>
                                </a:lnTo>
                                <a:lnTo>
                                  <a:pt x="148" y="21"/>
                                </a:lnTo>
                                <a:lnTo>
                                  <a:pt x="146" y="23"/>
                                </a:lnTo>
                                <a:lnTo>
                                  <a:pt x="146" y="75"/>
                                </a:lnTo>
                                <a:lnTo>
                                  <a:pt x="148" y="77"/>
                                </a:lnTo>
                                <a:lnTo>
                                  <a:pt x="152" y="77"/>
                                </a:lnTo>
                                <a:lnTo>
                                  <a:pt x="154" y="75"/>
                                </a:lnTo>
                                <a:lnTo>
                                  <a:pt x="154" y="23"/>
                                </a:lnTo>
                                <a:close/>
                                <a:moveTo>
                                  <a:pt x="175" y="665"/>
                                </a:moveTo>
                                <a:lnTo>
                                  <a:pt x="173" y="663"/>
                                </a:lnTo>
                                <a:lnTo>
                                  <a:pt x="171" y="663"/>
                                </a:lnTo>
                                <a:lnTo>
                                  <a:pt x="168" y="663"/>
                                </a:lnTo>
                                <a:lnTo>
                                  <a:pt x="167" y="665"/>
                                </a:lnTo>
                                <a:lnTo>
                                  <a:pt x="167" y="722"/>
                                </a:lnTo>
                                <a:lnTo>
                                  <a:pt x="168" y="724"/>
                                </a:lnTo>
                                <a:lnTo>
                                  <a:pt x="173" y="724"/>
                                </a:lnTo>
                                <a:lnTo>
                                  <a:pt x="175" y="722"/>
                                </a:lnTo>
                                <a:lnTo>
                                  <a:pt x="175" y="665"/>
                                </a:lnTo>
                                <a:close/>
                                <a:moveTo>
                                  <a:pt x="175" y="550"/>
                                </a:moveTo>
                                <a:lnTo>
                                  <a:pt x="173" y="548"/>
                                </a:lnTo>
                                <a:lnTo>
                                  <a:pt x="171" y="548"/>
                                </a:lnTo>
                                <a:lnTo>
                                  <a:pt x="168" y="548"/>
                                </a:lnTo>
                                <a:lnTo>
                                  <a:pt x="167" y="550"/>
                                </a:lnTo>
                                <a:lnTo>
                                  <a:pt x="167" y="626"/>
                                </a:lnTo>
                                <a:lnTo>
                                  <a:pt x="168" y="628"/>
                                </a:lnTo>
                                <a:lnTo>
                                  <a:pt x="173" y="628"/>
                                </a:lnTo>
                                <a:lnTo>
                                  <a:pt x="175" y="626"/>
                                </a:lnTo>
                                <a:lnTo>
                                  <a:pt x="175" y="550"/>
                                </a:lnTo>
                                <a:close/>
                                <a:moveTo>
                                  <a:pt x="175" y="403"/>
                                </a:moveTo>
                                <a:lnTo>
                                  <a:pt x="173" y="402"/>
                                </a:lnTo>
                                <a:lnTo>
                                  <a:pt x="171" y="402"/>
                                </a:lnTo>
                                <a:lnTo>
                                  <a:pt x="168" y="402"/>
                                </a:lnTo>
                                <a:lnTo>
                                  <a:pt x="167" y="403"/>
                                </a:lnTo>
                                <a:lnTo>
                                  <a:pt x="167" y="461"/>
                                </a:lnTo>
                                <a:lnTo>
                                  <a:pt x="168" y="463"/>
                                </a:lnTo>
                                <a:lnTo>
                                  <a:pt x="173" y="463"/>
                                </a:lnTo>
                                <a:lnTo>
                                  <a:pt x="175" y="461"/>
                                </a:lnTo>
                                <a:lnTo>
                                  <a:pt x="175" y="403"/>
                                </a:lnTo>
                                <a:close/>
                                <a:moveTo>
                                  <a:pt x="175" y="297"/>
                                </a:moveTo>
                                <a:lnTo>
                                  <a:pt x="173" y="295"/>
                                </a:lnTo>
                                <a:lnTo>
                                  <a:pt x="171" y="295"/>
                                </a:lnTo>
                                <a:lnTo>
                                  <a:pt x="168" y="295"/>
                                </a:lnTo>
                                <a:lnTo>
                                  <a:pt x="167" y="297"/>
                                </a:lnTo>
                                <a:lnTo>
                                  <a:pt x="167" y="354"/>
                                </a:lnTo>
                                <a:lnTo>
                                  <a:pt x="168" y="356"/>
                                </a:lnTo>
                                <a:lnTo>
                                  <a:pt x="173" y="356"/>
                                </a:lnTo>
                                <a:lnTo>
                                  <a:pt x="175" y="354"/>
                                </a:lnTo>
                                <a:lnTo>
                                  <a:pt x="175" y="297"/>
                                </a:lnTo>
                                <a:close/>
                                <a:moveTo>
                                  <a:pt x="175" y="179"/>
                                </a:moveTo>
                                <a:lnTo>
                                  <a:pt x="173" y="177"/>
                                </a:lnTo>
                                <a:lnTo>
                                  <a:pt x="171" y="177"/>
                                </a:lnTo>
                                <a:lnTo>
                                  <a:pt x="168" y="177"/>
                                </a:lnTo>
                                <a:lnTo>
                                  <a:pt x="167" y="179"/>
                                </a:lnTo>
                                <a:lnTo>
                                  <a:pt x="167" y="254"/>
                                </a:lnTo>
                                <a:lnTo>
                                  <a:pt x="168" y="256"/>
                                </a:lnTo>
                                <a:lnTo>
                                  <a:pt x="173" y="256"/>
                                </a:lnTo>
                                <a:lnTo>
                                  <a:pt x="175" y="254"/>
                                </a:lnTo>
                                <a:lnTo>
                                  <a:pt x="175" y="179"/>
                                </a:lnTo>
                                <a:close/>
                                <a:moveTo>
                                  <a:pt x="175" y="35"/>
                                </a:moveTo>
                                <a:lnTo>
                                  <a:pt x="173" y="33"/>
                                </a:lnTo>
                                <a:lnTo>
                                  <a:pt x="171" y="33"/>
                                </a:lnTo>
                                <a:lnTo>
                                  <a:pt x="168" y="33"/>
                                </a:lnTo>
                                <a:lnTo>
                                  <a:pt x="167" y="35"/>
                                </a:lnTo>
                                <a:lnTo>
                                  <a:pt x="167" y="93"/>
                                </a:lnTo>
                                <a:lnTo>
                                  <a:pt x="168" y="95"/>
                                </a:lnTo>
                                <a:lnTo>
                                  <a:pt x="173" y="95"/>
                                </a:lnTo>
                                <a:lnTo>
                                  <a:pt x="175" y="93"/>
                                </a:lnTo>
                                <a:lnTo>
                                  <a:pt x="175" y="35"/>
                                </a:lnTo>
                                <a:close/>
                                <a:moveTo>
                                  <a:pt x="195" y="577"/>
                                </a:moveTo>
                                <a:lnTo>
                                  <a:pt x="194" y="575"/>
                                </a:lnTo>
                                <a:lnTo>
                                  <a:pt x="191" y="575"/>
                                </a:lnTo>
                                <a:lnTo>
                                  <a:pt x="189" y="575"/>
                                </a:lnTo>
                                <a:lnTo>
                                  <a:pt x="187" y="577"/>
                                </a:lnTo>
                                <a:lnTo>
                                  <a:pt x="187" y="708"/>
                                </a:lnTo>
                                <a:lnTo>
                                  <a:pt x="189" y="710"/>
                                </a:lnTo>
                                <a:lnTo>
                                  <a:pt x="194" y="710"/>
                                </a:lnTo>
                                <a:lnTo>
                                  <a:pt x="195" y="708"/>
                                </a:lnTo>
                                <a:lnTo>
                                  <a:pt x="195" y="577"/>
                                </a:lnTo>
                                <a:close/>
                                <a:moveTo>
                                  <a:pt x="195" y="418"/>
                                </a:moveTo>
                                <a:lnTo>
                                  <a:pt x="194" y="417"/>
                                </a:lnTo>
                                <a:lnTo>
                                  <a:pt x="191" y="417"/>
                                </a:lnTo>
                                <a:lnTo>
                                  <a:pt x="189" y="417"/>
                                </a:lnTo>
                                <a:lnTo>
                                  <a:pt x="187" y="418"/>
                                </a:lnTo>
                                <a:lnTo>
                                  <a:pt x="187" y="480"/>
                                </a:lnTo>
                                <a:lnTo>
                                  <a:pt x="189" y="482"/>
                                </a:lnTo>
                                <a:lnTo>
                                  <a:pt x="194" y="482"/>
                                </a:lnTo>
                                <a:lnTo>
                                  <a:pt x="195" y="480"/>
                                </a:lnTo>
                                <a:lnTo>
                                  <a:pt x="195" y="418"/>
                                </a:lnTo>
                                <a:close/>
                                <a:moveTo>
                                  <a:pt x="195" y="207"/>
                                </a:moveTo>
                                <a:lnTo>
                                  <a:pt x="194" y="205"/>
                                </a:lnTo>
                                <a:lnTo>
                                  <a:pt x="191" y="205"/>
                                </a:lnTo>
                                <a:lnTo>
                                  <a:pt x="189" y="205"/>
                                </a:lnTo>
                                <a:lnTo>
                                  <a:pt x="187" y="207"/>
                                </a:lnTo>
                                <a:lnTo>
                                  <a:pt x="187" y="339"/>
                                </a:lnTo>
                                <a:lnTo>
                                  <a:pt x="189" y="341"/>
                                </a:lnTo>
                                <a:lnTo>
                                  <a:pt x="194" y="341"/>
                                </a:lnTo>
                                <a:lnTo>
                                  <a:pt x="195" y="339"/>
                                </a:lnTo>
                                <a:lnTo>
                                  <a:pt x="195" y="207"/>
                                </a:lnTo>
                                <a:close/>
                                <a:moveTo>
                                  <a:pt x="195" y="48"/>
                                </a:moveTo>
                                <a:lnTo>
                                  <a:pt x="194" y="46"/>
                                </a:lnTo>
                                <a:lnTo>
                                  <a:pt x="191" y="46"/>
                                </a:lnTo>
                                <a:lnTo>
                                  <a:pt x="189" y="46"/>
                                </a:lnTo>
                                <a:lnTo>
                                  <a:pt x="187" y="48"/>
                                </a:lnTo>
                                <a:lnTo>
                                  <a:pt x="187" y="111"/>
                                </a:lnTo>
                                <a:lnTo>
                                  <a:pt x="189" y="113"/>
                                </a:lnTo>
                                <a:lnTo>
                                  <a:pt x="194" y="113"/>
                                </a:lnTo>
                                <a:lnTo>
                                  <a:pt x="195" y="111"/>
                                </a:lnTo>
                                <a:lnTo>
                                  <a:pt x="195" y="48"/>
                                </a:lnTo>
                                <a:close/>
                                <a:moveTo>
                                  <a:pt x="216" y="604"/>
                                </a:moveTo>
                                <a:lnTo>
                                  <a:pt x="214" y="602"/>
                                </a:lnTo>
                                <a:lnTo>
                                  <a:pt x="212" y="602"/>
                                </a:lnTo>
                                <a:lnTo>
                                  <a:pt x="210" y="602"/>
                                </a:lnTo>
                                <a:lnTo>
                                  <a:pt x="208" y="604"/>
                                </a:lnTo>
                                <a:lnTo>
                                  <a:pt x="208" y="690"/>
                                </a:lnTo>
                                <a:lnTo>
                                  <a:pt x="210" y="692"/>
                                </a:lnTo>
                                <a:lnTo>
                                  <a:pt x="214" y="692"/>
                                </a:lnTo>
                                <a:lnTo>
                                  <a:pt x="216" y="690"/>
                                </a:lnTo>
                                <a:lnTo>
                                  <a:pt x="216" y="604"/>
                                </a:lnTo>
                                <a:close/>
                                <a:moveTo>
                                  <a:pt x="216" y="436"/>
                                </a:moveTo>
                                <a:lnTo>
                                  <a:pt x="214" y="434"/>
                                </a:lnTo>
                                <a:lnTo>
                                  <a:pt x="212" y="434"/>
                                </a:lnTo>
                                <a:lnTo>
                                  <a:pt x="210" y="434"/>
                                </a:lnTo>
                                <a:lnTo>
                                  <a:pt x="208" y="436"/>
                                </a:lnTo>
                                <a:lnTo>
                                  <a:pt x="208" y="504"/>
                                </a:lnTo>
                                <a:lnTo>
                                  <a:pt x="210" y="506"/>
                                </a:lnTo>
                                <a:lnTo>
                                  <a:pt x="214" y="506"/>
                                </a:lnTo>
                                <a:lnTo>
                                  <a:pt x="216" y="504"/>
                                </a:lnTo>
                                <a:lnTo>
                                  <a:pt x="216" y="436"/>
                                </a:lnTo>
                                <a:close/>
                                <a:moveTo>
                                  <a:pt x="216" y="234"/>
                                </a:moveTo>
                                <a:lnTo>
                                  <a:pt x="214" y="232"/>
                                </a:lnTo>
                                <a:lnTo>
                                  <a:pt x="212" y="232"/>
                                </a:lnTo>
                                <a:lnTo>
                                  <a:pt x="210" y="232"/>
                                </a:lnTo>
                                <a:lnTo>
                                  <a:pt x="208" y="234"/>
                                </a:lnTo>
                                <a:lnTo>
                                  <a:pt x="208" y="321"/>
                                </a:lnTo>
                                <a:lnTo>
                                  <a:pt x="210" y="323"/>
                                </a:lnTo>
                                <a:lnTo>
                                  <a:pt x="214" y="323"/>
                                </a:lnTo>
                                <a:lnTo>
                                  <a:pt x="216" y="321"/>
                                </a:lnTo>
                                <a:lnTo>
                                  <a:pt x="216" y="234"/>
                                </a:lnTo>
                                <a:close/>
                                <a:moveTo>
                                  <a:pt x="216" y="68"/>
                                </a:moveTo>
                                <a:lnTo>
                                  <a:pt x="214" y="67"/>
                                </a:lnTo>
                                <a:lnTo>
                                  <a:pt x="212" y="67"/>
                                </a:lnTo>
                                <a:lnTo>
                                  <a:pt x="210" y="67"/>
                                </a:lnTo>
                                <a:lnTo>
                                  <a:pt x="208" y="68"/>
                                </a:lnTo>
                                <a:lnTo>
                                  <a:pt x="208" y="133"/>
                                </a:lnTo>
                                <a:lnTo>
                                  <a:pt x="210" y="135"/>
                                </a:lnTo>
                                <a:lnTo>
                                  <a:pt x="214" y="135"/>
                                </a:lnTo>
                                <a:lnTo>
                                  <a:pt x="216" y="133"/>
                                </a:lnTo>
                                <a:lnTo>
                                  <a:pt x="216" y="68"/>
                                </a:lnTo>
                                <a:close/>
                                <a:moveTo>
                                  <a:pt x="237" y="629"/>
                                </a:moveTo>
                                <a:lnTo>
                                  <a:pt x="235" y="628"/>
                                </a:lnTo>
                                <a:lnTo>
                                  <a:pt x="233" y="628"/>
                                </a:lnTo>
                                <a:lnTo>
                                  <a:pt x="231" y="628"/>
                                </a:lnTo>
                                <a:lnTo>
                                  <a:pt x="229" y="629"/>
                                </a:lnTo>
                                <a:lnTo>
                                  <a:pt x="229" y="695"/>
                                </a:lnTo>
                                <a:lnTo>
                                  <a:pt x="231" y="697"/>
                                </a:lnTo>
                                <a:lnTo>
                                  <a:pt x="235" y="697"/>
                                </a:lnTo>
                                <a:lnTo>
                                  <a:pt x="237" y="695"/>
                                </a:lnTo>
                                <a:lnTo>
                                  <a:pt x="237" y="629"/>
                                </a:lnTo>
                                <a:close/>
                                <a:moveTo>
                                  <a:pt x="237" y="457"/>
                                </a:moveTo>
                                <a:lnTo>
                                  <a:pt x="235" y="455"/>
                                </a:lnTo>
                                <a:lnTo>
                                  <a:pt x="233" y="455"/>
                                </a:lnTo>
                                <a:lnTo>
                                  <a:pt x="231" y="455"/>
                                </a:lnTo>
                                <a:lnTo>
                                  <a:pt x="229" y="457"/>
                                </a:lnTo>
                                <a:lnTo>
                                  <a:pt x="229" y="529"/>
                                </a:lnTo>
                                <a:lnTo>
                                  <a:pt x="231" y="530"/>
                                </a:lnTo>
                                <a:lnTo>
                                  <a:pt x="235" y="530"/>
                                </a:lnTo>
                                <a:lnTo>
                                  <a:pt x="237" y="529"/>
                                </a:lnTo>
                                <a:lnTo>
                                  <a:pt x="237" y="457"/>
                                </a:lnTo>
                                <a:close/>
                                <a:moveTo>
                                  <a:pt x="237" y="259"/>
                                </a:moveTo>
                                <a:lnTo>
                                  <a:pt x="235" y="258"/>
                                </a:lnTo>
                                <a:lnTo>
                                  <a:pt x="233" y="258"/>
                                </a:lnTo>
                                <a:lnTo>
                                  <a:pt x="231" y="258"/>
                                </a:lnTo>
                                <a:lnTo>
                                  <a:pt x="229" y="259"/>
                                </a:lnTo>
                                <a:lnTo>
                                  <a:pt x="229" y="326"/>
                                </a:lnTo>
                                <a:lnTo>
                                  <a:pt x="231" y="328"/>
                                </a:lnTo>
                                <a:lnTo>
                                  <a:pt x="235" y="328"/>
                                </a:lnTo>
                                <a:lnTo>
                                  <a:pt x="237" y="326"/>
                                </a:lnTo>
                                <a:lnTo>
                                  <a:pt x="237" y="259"/>
                                </a:lnTo>
                                <a:close/>
                                <a:moveTo>
                                  <a:pt x="237" y="90"/>
                                </a:moveTo>
                                <a:lnTo>
                                  <a:pt x="235" y="88"/>
                                </a:lnTo>
                                <a:lnTo>
                                  <a:pt x="233" y="88"/>
                                </a:lnTo>
                                <a:lnTo>
                                  <a:pt x="231" y="88"/>
                                </a:lnTo>
                                <a:lnTo>
                                  <a:pt x="229" y="90"/>
                                </a:lnTo>
                                <a:lnTo>
                                  <a:pt x="229" y="160"/>
                                </a:lnTo>
                                <a:lnTo>
                                  <a:pt x="231" y="161"/>
                                </a:lnTo>
                                <a:lnTo>
                                  <a:pt x="235" y="161"/>
                                </a:lnTo>
                                <a:lnTo>
                                  <a:pt x="237" y="160"/>
                                </a:lnTo>
                                <a:lnTo>
                                  <a:pt x="237" y="90"/>
                                </a:lnTo>
                                <a:close/>
                                <a:moveTo>
                                  <a:pt x="258" y="650"/>
                                </a:moveTo>
                                <a:lnTo>
                                  <a:pt x="256" y="648"/>
                                </a:lnTo>
                                <a:lnTo>
                                  <a:pt x="254" y="648"/>
                                </a:lnTo>
                                <a:lnTo>
                                  <a:pt x="252" y="648"/>
                                </a:lnTo>
                                <a:lnTo>
                                  <a:pt x="250" y="650"/>
                                </a:lnTo>
                                <a:lnTo>
                                  <a:pt x="250" y="712"/>
                                </a:lnTo>
                                <a:lnTo>
                                  <a:pt x="252" y="713"/>
                                </a:lnTo>
                                <a:lnTo>
                                  <a:pt x="256" y="713"/>
                                </a:lnTo>
                                <a:lnTo>
                                  <a:pt x="258" y="712"/>
                                </a:lnTo>
                                <a:lnTo>
                                  <a:pt x="258" y="650"/>
                                </a:lnTo>
                                <a:close/>
                                <a:moveTo>
                                  <a:pt x="258" y="483"/>
                                </a:moveTo>
                                <a:lnTo>
                                  <a:pt x="256" y="481"/>
                                </a:lnTo>
                                <a:lnTo>
                                  <a:pt x="254" y="481"/>
                                </a:lnTo>
                                <a:lnTo>
                                  <a:pt x="252" y="481"/>
                                </a:lnTo>
                                <a:lnTo>
                                  <a:pt x="250" y="483"/>
                                </a:lnTo>
                                <a:lnTo>
                                  <a:pt x="250" y="555"/>
                                </a:lnTo>
                                <a:lnTo>
                                  <a:pt x="252" y="557"/>
                                </a:lnTo>
                                <a:lnTo>
                                  <a:pt x="256" y="557"/>
                                </a:lnTo>
                                <a:lnTo>
                                  <a:pt x="258" y="555"/>
                                </a:lnTo>
                                <a:lnTo>
                                  <a:pt x="258" y="483"/>
                                </a:lnTo>
                                <a:close/>
                                <a:moveTo>
                                  <a:pt x="258" y="282"/>
                                </a:moveTo>
                                <a:lnTo>
                                  <a:pt x="256" y="280"/>
                                </a:lnTo>
                                <a:lnTo>
                                  <a:pt x="254" y="280"/>
                                </a:lnTo>
                                <a:lnTo>
                                  <a:pt x="252" y="280"/>
                                </a:lnTo>
                                <a:lnTo>
                                  <a:pt x="250" y="282"/>
                                </a:lnTo>
                                <a:lnTo>
                                  <a:pt x="250" y="341"/>
                                </a:lnTo>
                                <a:lnTo>
                                  <a:pt x="252" y="343"/>
                                </a:lnTo>
                                <a:lnTo>
                                  <a:pt x="256" y="343"/>
                                </a:lnTo>
                                <a:lnTo>
                                  <a:pt x="258" y="341"/>
                                </a:lnTo>
                                <a:lnTo>
                                  <a:pt x="258" y="282"/>
                                </a:lnTo>
                                <a:close/>
                                <a:moveTo>
                                  <a:pt x="258" y="112"/>
                                </a:moveTo>
                                <a:lnTo>
                                  <a:pt x="256" y="110"/>
                                </a:lnTo>
                                <a:lnTo>
                                  <a:pt x="254" y="110"/>
                                </a:lnTo>
                                <a:lnTo>
                                  <a:pt x="252" y="110"/>
                                </a:lnTo>
                                <a:lnTo>
                                  <a:pt x="250" y="112"/>
                                </a:lnTo>
                                <a:lnTo>
                                  <a:pt x="250" y="188"/>
                                </a:lnTo>
                                <a:lnTo>
                                  <a:pt x="252" y="189"/>
                                </a:lnTo>
                                <a:lnTo>
                                  <a:pt x="256" y="189"/>
                                </a:lnTo>
                                <a:lnTo>
                                  <a:pt x="258" y="188"/>
                                </a:lnTo>
                                <a:lnTo>
                                  <a:pt x="258" y="112"/>
                                </a:lnTo>
                                <a:close/>
                                <a:moveTo>
                                  <a:pt x="279" y="669"/>
                                </a:moveTo>
                                <a:lnTo>
                                  <a:pt x="277" y="667"/>
                                </a:lnTo>
                                <a:lnTo>
                                  <a:pt x="275" y="667"/>
                                </a:lnTo>
                                <a:lnTo>
                                  <a:pt x="272" y="667"/>
                                </a:lnTo>
                                <a:lnTo>
                                  <a:pt x="271" y="669"/>
                                </a:lnTo>
                                <a:lnTo>
                                  <a:pt x="271" y="726"/>
                                </a:lnTo>
                                <a:lnTo>
                                  <a:pt x="272" y="727"/>
                                </a:lnTo>
                                <a:lnTo>
                                  <a:pt x="277" y="727"/>
                                </a:lnTo>
                                <a:lnTo>
                                  <a:pt x="279" y="726"/>
                                </a:lnTo>
                                <a:lnTo>
                                  <a:pt x="279" y="669"/>
                                </a:lnTo>
                                <a:close/>
                                <a:moveTo>
                                  <a:pt x="279" y="508"/>
                                </a:moveTo>
                                <a:lnTo>
                                  <a:pt x="277" y="506"/>
                                </a:lnTo>
                                <a:lnTo>
                                  <a:pt x="275" y="506"/>
                                </a:lnTo>
                                <a:lnTo>
                                  <a:pt x="272" y="506"/>
                                </a:lnTo>
                                <a:lnTo>
                                  <a:pt x="271" y="508"/>
                                </a:lnTo>
                                <a:lnTo>
                                  <a:pt x="271" y="582"/>
                                </a:lnTo>
                                <a:lnTo>
                                  <a:pt x="272" y="584"/>
                                </a:lnTo>
                                <a:lnTo>
                                  <a:pt x="277" y="584"/>
                                </a:lnTo>
                                <a:lnTo>
                                  <a:pt x="279" y="582"/>
                                </a:lnTo>
                                <a:lnTo>
                                  <a:pt x="279" y="508"/>
                                </a:lnTo>
                                <a:close/>
                                <a:moveTo>
                                  <a:pt x="279" y="401"/>
                                </a:moveTo>
                                <a:lnTo>
                                  <a:pt x="277" y="400"/>
                                </a:lnTo>
                                <a:lnTo>
                                  <a:pt x="275" y="400"/>
                                </a:lnTo>
                                <a:lnTo>
                                  <a:pt x="272" y="400"/>
                                </a:lnTo>
                                <a:lnTo>
                                  <a:pt x="271" y="401"/>
                                </a:lnTo>
                                <a:lnTo>
                                  <a:pt x="271" y="442"/>
                                </a:lnTo>
                                <a:lnTo>
                                  <a:pt x="272" y="444"/>
                                </a:lnTo>
                                <a:lnTo>
                                  <a:pt x="277" y="444"/>
                                </a:lnTo>
                                <a:lnTo>
                                  <a:pt x="279" y="442"/>
                                </a:lnTo>
                                <a:lnTo>
                                  <a:pt x="279" y="401"/>
                                </a:lnTo>
                                <a:close/>
                                <a:moveTo>
                                  <a:pt x="279" y="300"/>
                                </a:moveTo>
                                <a:lnTo>
                                  <a:pt x="277" y="298"/>
                                </a:lnTo>
                                <a:lnTo>
                                  <a:pt x="275" y="298"/>
                                </a:lnTo>
                                <a:lnTo>
                                  <a:pt x="272" y="298"/>
                                </a:lnTo>
                                <a:lnTo>
                                  <a:pt x="271" y="300"/>
                                </a:lnTo>
                                <a:lnTo>
                                  <a:pt x="271" y="356"/>
                                </a:lnTo>
                                <a:lnTo>
                                  <a:pt x="272" y="358"/>
                                </a:lnTo>
                                <a:lnTo>
                                  <a:pt x="277" y="358"/>
                                </a:lnTo>
                                <a:lnTo>
                                  <a:pt x="279" y="356"/>
                                </a:lnTo>
                                <a:lnTo>
                                  <a:pt x="279" y="300"/>
                                </a:lnTo>
                                <a:close/>
                                <a:moveTo>
                                  <a:pt x="279" y="138"/>
                                </a:moveTo>
                                <a:lnTo>
                                  <a:pt x="277" y="136"/>
                                </a:lnTo>
                                <a:lnTo>
                                  <a:pt x="275" y="136"/>
                                </a:lnTo>
                                <a:lnTo>
                                  <a:pt x="272" y="136"/>
                                </a:lnTo>
                                <a:lnTo>
                                  <a:pt x="271" y="138"/>
                                </a:lnTo>
                                <a:lnTo>
                                  <a:pt x="271" y="212"/>
                                </a:lnTo>
                                <a:lnTo>
                                  <a:pt x="272" y="213"/>
                                </a:lnTo>
                                <a:lnTo>
                                  <a:pt x="277" y="213"/>
                                </a:lnTo>
                                <a:lnTo>
                                  <a:pt x="279" y="212"/>
                                </a:lnTo>
                                <a:lnTo>
                                  <a:pt x="279" y="138"/>
                                </a:lnTo>
                                <a:close/>
                                <a:moveTo>
                                  <a:pt x="279" y="33"/>
                                </a:moveTo>
                                <a:lnTo>
                                  <a:pt x="277" y="31"/>
                                </a:lnTo>
                                <a:lnTo>
                                  <a:pt x="275" y="31"/>
                                </a:lnTo>
                                <a:lnTo>
                                  <a:pt x="272" y="31"/>
                                </a:lnTo>
                                <a:lnTo>
                                  <a:pt x="271" y="33"/>
                                </a:lnTo>
                                <a:lnTo>
                                  <a:pt x="271" y="74"/>
                                </a:lnTo>
                                <a:lnTo>
                                  <a:pt x="272" y="75"/>
                                </a:lnTo>
                                <a:lnTo>
                                  <a:pt x="277" y="75"/>
                                </a:lnTo>
                                <a:lnTo>
                                  <a:pt x="279" y="74"/>
                                </a:lnTo>
                                <a:lnTo>
                                  <a:pt x="279" y="33"/>
                                </a:lnTo>
                                <a:close/>
                                <a:moveTo>
                                  <a:pt x="299" y="684"/>
                                </a:moveTo>
                                <a:lnTo>
                                  <a:pt x="298" y="682"/>
                                </a:lnTo>
                                <a:lnTo>
                                  <a:pt x="295" y="682"/>
                                </a:lnTo>
                                <a:lnTo>
                                  <a:pt x="293" y="682"/>
                                </a:lnTo>
                                <a:lnTo>
                                  <a:pt x="291" y="684"/>
                                </a:lnTo>
                                <a:lnTo>
                                  <a:pt x="291" y="737"/>
                                </a:lnTo>
                                <a:lnTo>
                                  <a:pt x="293" y="739"/>
                                </a:lnTo>
                                <a:lnTo>
                                  <a:pt x="298" y="739"/>
                                </a:lnTo>
                                <a:lnTo>
                                  <a:pt x="299" y="737"/>
                                </a:lnTo>
                                <a:lnTo>
                                  <a:pt x="299" y="684"/>
                                </a:lnTo>
                                <a:close/>
                                <a:moveTo>
                                  <a:pt x="299" y="535"/>
                                </a:moveTo>
                                <a:lnTo>
                                  <a:pt x="298" y="533"/>
                                </a:lnTo>
                                <a:lnTo>
                                  <a:pt x="295" y="533"/>
                                </a:lnTo>
                                <a:lnTo>
                                  <a:pt x="293" y="533"/>
                                </a:lnTo>
                                <a:lnTo>
                                  <a:pt x="291" y="535"/>
                                </a:lnTo>
                                <a:lnTo>
                                  <a:pt x="291" y="607"/>
                                </a:lnTo>
                                <a:lnTo>
                                  <a:pt x="293" y="608"/>
                                </a:lnTo>
                                <a:lnTo>
                                  <a:pt x="298" y="608"/>
                                </a:lnTo>
                                <a:lnTo>
                                  <a:pt x="299" y="607"/>
                                </a:lnTo>
                                <a:lnTo>
                                  <a:pt x="299" y="535"/>
                                </a:lnTo>
                                <a:close/>
                                <a:moveTo>
                                  <a:pt x="299" y="391"/>
                                </a:moveTo>
                                <a:lnTo>
                                  <a:pt x="298" y="389"/>
                                </a:lnTo>
                                <a:lnTo>
                                  <a:pt x="295" y="389"/>
                                </a:lnTo>
                                <a:lnTo>
                                  <a:pt x="293" y="389"/>
                                </a:lnTo>
                                <a:lnTo>
                                  <a:pt x="291" y="391"/>
                                </a:lnTo>
                                <a:lnTo>
                                  <a:pt x="291" y="443"/>
                                </a:lnTo>
                                <a:lnTo>
                                  <a:pt x="293" y="445"/>
                                </a:lnTo>
                                <a:lnTo>
                                  <a:pt x="298" y="445"/>
                                </a:lnTo>
                                <a:lnTo>
                                  <a:pt x="299" y="443"/>
                                </a:lnTo>
                                <a:lnTo>
                                  <a:pt x="299" y="391"/>
                                </a:lnTo>
                                <a:close/>
                                <a:moveTo>
                                  <a:pt x="299" y="314"/>
                                </a:moveTo>
                                <a:lnTo>
                                  <a:pt x="298" y="312"/>
                                </a:lnTo>
                                <a:lnTo>
                                  <a:pt x="295" y="312"/>
                                </a:lnTo>
                                <a:lnTo>
                                  <a:pt x="293" y="312"/>
                                </a:lnTo>
                                <a:lnTo>
                                  <a:pt x="291" y="314"/>
                                </a:lnTo>
                                <a:lnTo>
                                  <a:pt x="291" y="368"/>
                                </a:lnTo>
                                <a:lnTo>
                                  <a:pt x="293" y="370"/>
                                </a:lnTo>
                                <a:lnTo>
                                  <a:pt x="298" y="370"/>
                                </a:lnTo>
                                <a:lnTo>
                                  <a:pt x="299" y="368"/>
                                </a:lnTo>
                                <a:lnTo>
                                  <a:pt x="299" y="314"/>
                                </a:lnTo>
                                <a:close/>
                                <a:moveTo>
                                  <a:pt x="299" y="165"/>
                                </a:moveTo>
                                <a:lnTo>
                                  <a:pt x="298" y="163"/>
                                </a:lnTo>
                                <a:lnTo>
                                  <a:pt x="295" y="163"/>
                                </a:lnTo>
                                <a:lnTo>
                                  <a:pt x="293" y="163"/>
                                </a:lnTo>
                                <a:lnTo>
                                  <a:pt x="291" y="165"/>
                                </a:lnTo>
                                <a:lnTo>
                                  <a:pt x="291" y="236"/>
                                </a:lnTo>
                                <a:lnTo>
                                  <a:pt x="293" y="238"/>
                                </a:lnTo>
                                <a:lnTo>
                                  <a:pt x="298" y="238"/>
                                </a:lnTo>
                                <a:lnTo>
                                  <a:pt x="299" y="236"/>
                                </a:lnTo>
                                <a:lnTo>
                                  <a:pt x="299" y="165"/>
                                </a:lnTo>
                                <a:close/>
                                <a:moveTo>
                                  <a:pt x="299" y="22"/>
                                </a:moveTo>
                                <a:lnTo>
                                  <a:pt x="298" y="20"/>
                                </a:lnTo>
                                <a:lnTo>
                                  <a:pt x="295" y="20"/>
                                </a:lnTo>
                                <a:lnTo>
                                  <a:pt x="293" y="20"/>
                                </a:lnTo>
                                <a:lnTo>
                                  <a:pt x="291" y="22"/>
                                </a:lnTo>
                                <a:lnTo>
                                  <a:pt x="291" y="74"/>
                                </a:lnTo>
                                <a:lnTo>
                                  <a:pt x="293" y="76"/>
                                </a:lnTo>
                                <a:lnTo>
                                  <a:pt x="298" y="76"/>
                                </a:lnTo>
                                <a:lnTo>
                                  <a:pt x="299" y="74"/>
                                </a:lnTo>
                                <a:lnTo>
                                  <a:pt x="299" y="22"/>
                                </a:lnTo>
                                <a:close/>
                                <a:moveTo>
                                  <a:pt x="320" y="694"/>
                                </a:moveTo>
                                <a:lnTo>
                                  <a:pt x="318" y="692"/>
                                </a:lnTo>
                                <a:lnTo>
                                  <a:pt x="316" y="692"/>
                                </a:lnTo>
                                <a:lnTo>
                                  <a:pt x="314" y="692"/>
                                </a:lnTo>
                                <a:lnTo>
                                  <a:pt x="312" y="694"/>
                                </a:lnTo>
                                <a:lnTo>
                                  <a:pt x="312" y="746"/>
                                </a:lnTo>
                                <a:lnTo>
                                  <a:pt x="314" y="748"/>
                                </a:lnTo>
                                <a:lnTo>
                                  <a:pt x="318" y="748"/>
                                </a:lnTo>
                                <a:lnTo>
                                  <a:pt x="320" y="746"/>
                                </a:lnTo>
                                <a:lnTo>
                                  <a:pt x="320" y="694"/>
                                </a:lnTo>
                                <a:close/>
                                <a:moveTo>
                                  <a:pt x="320" y="560"/>
                                </a:moveTo>
                                <a:lnTo>
                                  <a:pt x="318" y="558"/>
                                </a:lnTo>
                                <a:lnTo>
                                  <a:pt x="316" y="558"/>
                                </a:lnTo>
                                <a:lnTo>
                                  <a:pt x="314" y="558"/>
                                </a:lnTo>
                                <a:lnTo>
                                  <a:pt x="312" y="560"/>
                                </a:lnTo>
                                <a:lnTo>
                                  <a:pt x="312" y="624"/>
                                </a:lnTo>
                                <a:lnTo>
                                  <a:pt x="314" y="626"/>
                                </a:lnTo>
                                <a:lnTo>
                                  <a:pt x="318" y="626"/>
                                </a:lnTo>
                                <a:lnTo>
                                  <a:pt x="320" y="624"/>
                                </a:lnTo>
                                <a:lnTo>
                                  <a:pt x="320" y="560"/>
                                </a:lnTo>
                                <a:close/>
                                <a:moveTo>
                                  <a:pt x="320" y="384"/>
                                </a:moveTo>
                                <a:lnTo>
                                  <a:pt x="318" y="383"/>
                                </a:lnTo>
                                <a:lnTo>
                                  <a:pt x="316" y="383"/>
                                </a:lnTo>
                                <a:lnTo>
                                  <a:pt x="314" y="383"/>
                                </a:lnTo>
                                <a:lnTo>
                                  <a:pt x="312" y="384"/>
                                </a:lnTo>
                                <a:lnTo>
                                  <a:pt x="312" y="432"/>
                                </a:lnTo>
                                <a:lnTo>
                                  <a:pt x="314" y="434"/>
                                </a:lnTo>
                                <a:lnTo>
                                  <a:pt x="318" y="434"/>
                                </a:lnTo>
                                <a:lnTo>
                                  <a:pt x="320" y="432"/>
                                </a:lnTo>
                                <a:lnTo>
                                  <a:pt x="320" y="384"/>
                                </a:lnTo>
                                <a:close/>
                                <a:moveTo>
                                  <a:pt x="320" y="325"/>
                                </a:moveTo>
                                <a:lnTo>
                                  <a:pt x="318" y="323"/>
                                </a:lnTo>
                                <a:lnTo>
                                  <a:pt x="316" y="323"/>
                                </a:lnTo>
                                <a:lnTo>
                                  <a:pt x="314" y="323"/>
                                </a:lnTo>
                                <a:lnTo>
                                  <a:pt x="312" y="325"/>
                                </a:lnTo>
                                <a:lnTo>
                                  <a:pt x="312" y="373"/>
                                </a:lnTo>
                                <a:lnTo>
                                  <a:pt x="314" y="374"/>
                                </a:lnTo>
                                <a:lnTo>
                                  <a:pt x="318" y="374"/>
                                </a:lnTo>
                                <a:lnTo>
                                  <a:pt x="320" y="373"/>
                                </a:lnTo>
                                <a:lnTo>
                                  <a:pt x="320" y="325"/>
                                </a:lnTo>
                                <a:close/>
                                <a:moveTo>
                                  <a:pt x="320" y="191"/>
                                </a:moveTo>
                                <a:lnTo>
                                  <a:pt x="318" y="189"/>
                                </a:lnTo>
                                <a:lnTo>
                                  <a:pt x="316" y="189"/>
                                </a:lnTo>
                                <a:lnTo>
                                  <a:pt x="314" y="189"/>
                                </a:lnTo>
                                <a:lnTo>
                                  <a:pt x="312" y="191"/>
                                </a:lnTo>
                                <a:lnTo>
                                  <a:pt x="312" y="255"/>
                                </a:lnTo>
                                <a:lnTo>
                                  <a:pt x="314" y="257"/>
                                </a:lnTo>
                                <a:lnTo>
                                  <a:pt x="318" y="257"/>
                                </a:lnTo>
                                <a:lnTo>
                                  <a:pt x="320" y="255"/>
                                </a:lnTo>
                                <a:lnTo>
                                  <a:pt x="320" y="191"/>
                                </a:lnTo>
                                <a:close/>
                                <a:moveTo>
                                  <a:pt x="320" y="13"/>
                                </a:moveTo>
                                <a:lnTo>
                                  <a:pt x="318" y="11"/>
                                </a:lnTo>
                                <a:lnTo>
                                  <a:pt x="316" y="11"/>
                                </a:lnTo>
                                <a:lnTo>
                                  <a:pt x="314" y="11"/>
                                </a:lnTo>
                                <a:lnTo>
                                  <a:pt x="312" y="13"/>
                                </a:lnTo>
                                <a:lnTo>
                                  <a:pt x="312" y="63"/>
                                </a:lnTo>
                                <a:lnTo>
                                  <a:pt x="314" y="64"/>
                                </a:lnTo>
                                <a:lnTo>
                                  <a:pt x="318" y="64"/>
                                </a:lnTo>
                                <a:lnTo>
                                  <a:pt x="320" y="63"/>
                                </a:lnTo>
                                <a:lnTo>
                                  <a:pt x="320" y="13"/>
                                </a:lnTo>
                                <a:close/>
                                <a:moveTo>
                                  <a:pt x="341" y="702"/>
                                </a:moveTo>
                                <a:lnTo>
                                  <a:pt x="339" y="700"/>
                                </a:lnTo>
                                <a:lnTo>
                                  <a:pt x="337" y="700"/>
                                </a:lnTo>
                                <a:lnTo>
                                  <a:pt x="335" y="700"/>
                                </a:lnTo>
                                <a:lnTo>
                                  <a:pt x="333" y="702"/>
                                </a:lnTo>
                                <a:lnTo>
                                  <a:pt x="333" y="752"/>
                                </a:lnTo>
                                <a:lnTo>
                                  <a:pt x="335" y="754"/>
                                </a:lnTo>
                                <a:lnTo>
                                  <a:pt x="339" y="754"/>
                                </a:lnTo>
                                <a:lnTo>
                                  <a:pt x="341" y="752"/>
                                </a:lnTo>
                                <a:lnTo>
                                  <a:pt x="341" y="702"/>
                                </a:lnTo>
                                <a:close/>
                                <a:moveTo>
                                  <a:pt x="341" y="581"/>
                                </a:moveTo>
                                <a:lnTo>
                                  <a:pt x="339" y="579"/>
                                </a:lnTo>
                                <a:lnTo>
                                  <a:pt x="337" y="579"/>
                                </a:lnTo>
                                <a:lnTo>
                                  <a:pt x="335" y="579"/>
                                </a:lnTo>
                                <a:lnTo>
                                  <a:pt x="333" y="581"/>
                                </a:lnTo>
                                <a:lnTo>
                                  <a:pt x="333" y="636"/>
                                </a:lnTo>
                                <a:lnTo>
                                  <a:pt x="335" y="638"/>
                                </a:lnTo>
                                <a:lnTo>
                                  <a:pt x="339" y="638"/>
                                </a:lnTo>
                                <a:lnTo>
                                  <a:pt x="341" y="636"/>
                                </a:lnTo>
                                <a:lnTo>
                                  <a:pt x="341" y="581"/>
                                </a:lnTo>
                                <a:close/>
                                <a:moveTo>
                                  <a:pt x="341" y="490"/>
                                </a:moveTo>
                                <a:lnTo>
                                  <a:pt x="339" y="488"/>
                                </a:lnTo>
                                <a:lnTo>
                                  <a:pt x="337" y="488"/>
                                </a:lnTo>
                                <a:lnTo>
                                  <a:pt x="335" y="488"/>
                                </a:lnTo>
                                <a:lnTo>
                                  <a:pt x="333" y="490"/>
                                </a:lnTo>
                                <a:lnTo>
                                  <a:pt x="333" y="523"/>
                                </a:lnTo>
                                <a:lnTo>
                                  <a:pt x="335" y="525"/>
                                </a:lnTo>
                                <a:lnTo>
                                  <a:pt x="339" y="525"/>
                                </a:lnTo>
                                <a:lnTo>
                                  <a:pt x="341" y="523"/>
                                </a:lnTo>
                                <a:lnTo>
                                  <a:pt x="341" y="490"/>
                                </a:lnTo>
                                <a:close/>
                                <a:moveTo>
                                  <a:pt x="341" y="333"/>
                                </a:moveTo>
                                <a:lnTo>
                                  <a:pt x="339" y="331"/>
                                </a:lnTo>
                                <a:lnTo>
                                  <a:pt x="337" y="331"/>
                                </a:lnTo>
                                <a:lnTo>
                                  <a:pt x="335" y="331"/>
                                </a:lnTo>
                                <a:lnTo>
                                  <a:pt x="333" y="333"/>
                                </a:lnTo>
                                <a:lnTo>
                                  <a:pt x="333" y="425"/>
                                </a:lnTo>
                                <a:lnTo>
                                  <a:pt x="335" y="426"/>
                                </a:lnTo>
                                <a:lnTo>
                                  <a:pt x="339" y="426"/>
                                </a:lnTo>
                                <a:lnTo>
                                  <a:pt x="341" y="425"/>
                                </a:lnTo>
                                <a:lnTo>
                                  <a:pt x="341" y="333"/>
                                </a:lnTo>
                                <a:close/>
                                <a:moveTo>
                                  <a:pt x="341" y="211"/>
                                </a:moveTo>
                                <a:lnTo>
                                  <a:pt x="339" y="210"/>
                                </a:lnTo>
                                <a:lnTo>
                                  <a:pt x="337" y="210"/>
                                </a:lnTo>
                                <a:lnTo>
                                  <a:pt x="335" y="210"/>
                                </a:lnTo>
                                <a:lnTo>
                                  <a:pt x="333" y="211"/>
                                </a:lnTo>
                                <a:lnTo>
                                  <a:pt x="333" y="267"/>
                                </a:lnTo>
                                <a:lnTo>
                                  <a:pt x="335" y="269"/>
                                </a:lnTo>
                                <a:lnTo>
                                  <a:pt x="339" y="269"/>
                                </a:lnTo>
                                <a:lnTo>
                                  <a:pt x="341" y="267"/>
                                </a:lnTo>
                                <a:lnTo>
                                  <a:pt x="341" y="211"/>
                                </a:lnTo>
                                <a:close/>
                                <a:moveTo>
                                  <a:pt x="341" y="121"/>
                                </a:moveTo>
                                <a:lnTo>
                                  <a:pt x="339" y="119"/>
                                </a:lnTo>
                                <a:lnTo>
                                  <a:pt x="337" y="119"/>
                                </a:lnTo>
                                <a:lnTo>
                                  <a:pt x="335" y="119"/>
                                </a:lnTo>
                                <a:lnTo>
                                  <a:pt x="333" y="121"/>
                                </a:lnTo>
                                <a:lnTo>
                                  <a:pt x="333" y="156"/>
                                </a:lnTo>
                                <a:lnTo>
                                  <a:pt x="335" y="158"/>
                                </a:lnTo>
                                <a:lnTo>
                                  <a:pt x="339" y="158"/>
                                </a:lnTo>
                                <a:lnTo>
                                  <a:pt x="341" y="156"/>
                                </a:lnTo>
                                <a:lnTo>
                                  <a:pt x="341" y="121"/>
                                </a:lnTo>
                                <a:close/>
                                <a:moveTo>
                                  <a:pt x="341" y="7"/>
                                </a:moveTo>
                                <a:lnTo>
                                  <a:pt x="339" y="5"/>
                                </a:lnTo>
                                <a:lnTo>
                                  <a:pt x="337" y="5"/>
                                </a:lnTo>
                                <a:lnTo>
                                  <a:pt x="335" y="5"/>
                                </a:lnTo>
                                <a:lnTo>
                                  <a:pt x="333" y="7"/>
                                </a:lnTo>
                                <a:lnTo>
                                  <a:pt x="333" y="56"/>
                                </a:lnTo>
                                <a:lnTo>
                                  <a:pt x="335" y="58"/>
                                </a:lnTo>
                                <a:lnTo>
                                  <a:pt x="339" y="58"/>
                                </a:lnTo>
                                <a:lnTo>
                                  <a:pt x="341" y="56"/>
                                </a:lnTo>
                                <a:lnTo>
                                  <a:pt x="341" y="7"/>
                                </a:lnTo>
                                <a:close/>
                                <a:moveTo>
                                  <a:pt x="362" y="706"/>
                                </a:moveTo>
                                <a:lnTo>
                                  <a:pt x="360" y="704"/>
                                </a:lnTo>
                                <a:lnTo>
                                  <a:pt x="358" y="704"/>
                                </a:lnTo>
                                <a:lnTo>
                                  <a:pt x="355" y="704"/>
                                </a:lnTo>
                                <a:lnTo>
                                  <a:pt x="354" y="706"/>
                                </a:lnTo>
                                <a:lnTo>
                                  <a:pt x="354" y="756"/>
                                </a:lnTo>
                                <a:lnTo>
                                  <a:pt x="355" y="757"/>
                                </a:lnTo>
                                <a:lnTo>
                                  <a:pt x="360" y="757"/>
                                </a:lnTo>
                                <a:lnTo>
                                  <a:pt x="362" y="756"/>
                                </a:lnTo>
                                <a:lnTo>
                                  <a:pt x="362" y="706"/>
                                </a:lnTo>
                                <a:close/>
                                <a:moveTo>
                                  <a:pt x="362" y="594"/>
                                </a:moveTo>
                                <a:lnTo>
                                  <a:pt x="360" y="592"/>
                                </a:lnTo>
                                <a:lnTo>
                                  <a:pt x="358" y="592"/>
                                </a:lnTo>
                                <a:lnTo>
                                  <a:pt x="355" y="592"/>
                                </a:lnTo>
                                <a:lnTo>
                                  <a:pt x="354" y="594"/>
                                </a:lnTo>
                                <a:lnTo>
                                  <a:pt x="354" y="646"/>
                                </a:lnTo>
                                <a:lnTo>
                                  <a:pt x="355" y="648"/>
                                </a:lnTo>
                                <a:lnTo>
                                  <a:pt x="360" y="648"/>
                                </a:lnTo>
                                <a:lnTo>
                                  <a:pt x="362" y="646"/>
                                </a:lnTo>
                                <a:lnTo>
                                  <a:pt x="362" y="594"/>
                                </a:lnTo>
                                <a:close/>
                                <a:moveTo>
                                  <a:pt x="362" y="482"/>
                                </a:moveTo>
                                <a:lnTo>
                                  <a:pt x="360" y="480"/>
                                </a:lnTo>
                                <a:lnTo>
                                  <a:pt x="358" y="480"/>
                                </a:lnTo>
                                <a:lnTo>
                                  <a:pt x="355" y="480"/>
                                </a:lnTo>
                                <a:lnTo>
                                  <a:pt x="354" y="482"/>
                                </a:lnTo>
                                <a:lnTo>
                                  <a:pt x="354" y="531"/>
                                </a:lnTo>
                                <a:lnTo>
                                  <a:pt x="355" y="533"/>
                                </a:lnTo>
                                <a:lnTo>
                                  <a:pt x="360" y="533"/>
                                </a:lnTo>
                                <a:lnTo>
                                  <a:pt x="362" y="531"/>
                                </a:lnTo>
                                <a:lnTo>
                                  <a:pt x="362" y="482"/>
                                </a:lnTo>
                                <a:close/>
                                <a:moveTo>
                                  <a:pt x="362" y="337"/>
                                </a:moveTo>
                                <a:lnTo>
                                  <a:pt x="360" y="336"/>
                                </a:lnTo>
                                <a:lnTo>
                                  <a:pt x="358" y="336"/>
                                </a:lnTo>
                                <a:lnTo>
                                  <a:pt x="355" y="336"/>
                                </a:lnTo>
                                <a:lnTo>
                                  <a:pt x="354" y="337"/>
                                </a:lnTo>
                                <a:lnTo>
                                  <a:pt x="354" y="420"/>
                                </a:lnTo>
                                <a:lnTo>
                                  <a:pt x="355" y="421"/>
                                </a:lnTo>
                                <a:lnTo>
                                  <a:pt x="360" y="421"/>
                                </a:lnTo>
                                <a:lnTo>
                                  <a:pt x="362" y="420"/>
                                </a:lnTo>
                                <a:lnTo>
                                  <a:pt x="362" y="337"/>
                                </a:lnTo>
                                <a:close/>
                                <a:moveTo>
                                  <a:pt x="362" y="226"/>
                                </a:moveTo>
                                <a:lnTo>
                                  <a:pt x="360" y="224"/>
                                </a:lnTo>
                                <a:lnTo>
                                  <a:pt x="358" y="224"/>
                                </a:lnTo>
                                <a:lnTo>
                                  <a:pt x="355" y="224"/>
                                </a:lnTo>
                                <a:lnTo>
                                  <a:pt x="354" y="226"/>
                                </a:lnTo>
                                <a:lnTo>
                                  <a:pt x="354" y="276"/>
                                </a:lnTo>
                                <a:lnTo>
                                  <a:pt x="355" y="277"/>
                                </a:lnTo>
                                <a:lnTo>
                                  <a:pt x="360" y="277"/>
                                </a:lnTo>
                                <a:lnTo>
                                  <a:pt x="362" y="276"/>
                                </a:lnTo>
                                <a:lnTo>
                                  <a:pt x="362" y="226"/>
                                </a:lnTo>
                                <a:close/>
                                <a:moveTo>
                                  <a:pt x="362" y="112"/>
                                </a:moveTo>
                                <a:lnTo>
                                  <a:pt x="360" y="110"/>
                                </a:lnTo>
                                <a:lnTo>
                                  <a:pt x="358" y="110"/>
                                </a:lnTo>
                                <a:lnTo>
                                  <a:pt x="355" y="110"/>
                                </a:lnTo>
                                <a:lnTo>
                                  <a:pt x="354" y="112"/>
                                </a:lnTo>
                                <a:lnTo>
                                  <a:pt x="354" y="163"/>
                                </a:lnTo>
                                <a:lnTo>
                                  <a:pt x="355" y="164"/>
                                </a:lnTo>
                                <a:lnTo>
                                  <a:pt x="360" y="164"/>
                                </a:lnTo>
                                <a:lnTo>
                                  <a:pt x="362" y="163"/>
                                </a:lnTo>
                                <a:lnTo>
                                  <a:pt x="362" y="112"/>
                                </a:lnTo>
                                <a:close/>
                                <a:moveTo>
                                  <a:pt x="362" y="4"/>
                                </a:moveTo>
                                <a:lnTo>
                                  <a:pt x="360" y="2"/>
                                </a:lnTo>
                                <a:lnTo>
                                  <a:pt x="358" y="2"/>
                                </a:lnTo>
                                <a:lnTo>
                                  <a:pt x="355" y="2"/>
                                </a:lnTo>
                                <a:lnTo>
                                  <a:pt x="354" y="4"/>
                                </a:lnTo>
                                <a:lnTo>
                                  <a:pt x="354" y="51"/>
                                </a:lnTo>
                                <a:lnTo>
                                  <a:pt x="355" y="52"/>
                                </a:lnTo>
                                <a:lnTo>
                                  <a:pt x="360" y="52"/>
                                </a:lnTo>
                                <a:lnTo>
                                  <a:pt x="362" y="51"/>
                                </a:lnTo>
                                <a:lnTo>
                                  <a:pt x="362" y="4"/>
                                </a:lnTo>
                                <a:close/>
                                <a:moveTo>
                                  <a:pt x="382" y="710"/>
                                </a:moveTo>
                                <a:lnTo>
                                  <a:pt x="381" y="708"/>
                                </a:lnTo>
                                <a:lnTo>
                                  <a:pt x="378" y="708"/>
                                </a:lnTo>
                                <a:lnTo>
                                  <a:pt x="376" y="708"/>
                                </a:lnTo>
                                <a:lnTo>
                                  <a:pt x="374" y="710"/>
                                </a:lnTo>
                                <a:lnTo>
                                  <a:pt x="374" y="757"/>
                                </a:lnTo>
                                <a:lnTo>
                                  <a:pt x="376" y="759"/>
                                </a:lnTo>
                                <a:lnTo>
                                  <a:pt x="381" y="759"/>
                                </a:lnTo>
                                <a:lnTo>
                                  <a:pt x="382" y="757"/>
                                </a:lnTo>
                                <a:lnTo>
                                  <a:pt x="382" y="710"/>
                                </a:lnTo>
                                <a:close/>
                                <a:moveTo>
                                  <a:pt x="382" y="601"/>
                                </a:moveTo>
                                <a:lnTo>
                                  <a:pt x="381" y="599"/>
                                </a:lnTo>
                                <a:lnTo>
                                  <a:pt x="378" y="599"/>
                                </a:lnTo>
                                <a:lnTo>
                                  <a:pt x="376" y="599"/>
                                </a:lnTo>
                                <a:lnTo>
                                  <a:pt x="374" y="601"/>
                                </a:lnTo>
                                <a:lnTo>
                                  <a:pt x="374" y="649"/>
                                </a:lnTo>
                                <a:lnTo>
                                  <a:pt x="376" y="651"/>
                                </a:lnTo>
                                <a:lnTo>
                                  <a:pt x="381" y="651"/>
                                </a:lnTo>
                                <a:lnTo>
                                  <a:pt x="382" y="649"/>
                                </a:lnTo>
                                <a:lnTo>
                                  <a:pt x="382" y="601"/>
                                </a:lnTo>
                                <a:close/>
                                <a:moveTo>
                                  <a:pt x="382" y="476"/>
                                </a:moveTo>
                                <a:lnTo>
                                  <a:pt x="381" y="475"/>
                                </a:lnTo>
                                <a:lnTo>
                                  <a:pt x="378" y="475"/>
                                </a:lnTo>
                                <a:lnTo>
                                  <a:pt x="376" y="475"/>
                                </a:lnTo>
                                <a:lnTo>
                                  <a:pt x="374" y="476"/>
                                </a:lnTo>
                                <a:lnTo>
                                  <a:pt x="374" y="525"/>
                                </a:lnTo>
                                <a:lnTo>
                                  <a:pt x="376" y="527"/>
                                </a:lnTo>
                                <a:lnTo>
                                  <a:pt x="381" y="527"/>
                                </a:lnTo>
                                <a:lnTo>
                                  <a:pt x="382" y="525"/>
                                </a:lnTo>
                                <a:lnTo>
                                  <a:pt x="382" y="476"/>
                                </a:lnTo>
                                <a:close/>
                                <a:moveTo>
                                  <a:pt x="382" y="341"/>
                                </a:moveTo>
                                <a:lnTo>
                                  <a:pt x="381" y="339"/>
                                </a:lnTo>
                                <a:lnTo>
                                  <a:pt x="378" y="339"/>
                                </a:lnTo>
                                <a:lnTo>
                                  <a:pt x="376" y="339"/>
                                </a:lnTo>
                                <a:lnTo>
                                  <a:pt x="374" y="341"/>
                                </a:lnTo>
                                <a:lnTo>
                                  <a:pt x="374" y="417"/>
                                </a:lnTo>
                                <a:lnTo>
                                  <a:pt x="376" y="419"/>
                                </a:lnTo>
                                <a:lnTo>
                                  <a:pt x="381" y="419"/>
                                </a:lnTo>
                                <a:lnTo>
                                  <a:pt x="382" y="417"/>
                                </a:lnTo>
                                <a:lnTo>
                                  <a:pt x="382" y="341"/>
                                </a:lnTo>
                                <a:close/>
                                <a:moveTo>
                                  <a:pt x="382" y="232"/>
                                </a:moveTo>
                                <a:lnTo>
                                  <a:pt x="381" y="230"/>
                                </a:lnTo>
                                <a:lnTo>
                                  <a:pt x="378" y="230"/>
                                </a:lnTo>
                                <a:lnTo>
                                  <a:pt x="376" y="230"/>
                                </a:lnTo>
                                <a:lnTo>
                                  <a:pt x="374" y="232"/>
                                </a:lnTo>
                                <a:lnTo>
                                  <a:pt x="374" y="281"/>
                                </a:lnTo>
                                <a:lnTo>
                                  <a:pt x="376" y="282"/>
                                </a:lnTo>
                                <a:lnTo>
                                  <a:pt x="381" y="282"/>
                                </a:lnTo>
                                <a:lnTo>
                                  <a:pt x="382" y="281"/>
                                </a:lnTo>
                                <a:lnTo>
                                  <a:pt x="382" y="232"/>
                                </a:lnTo>
                                <a:close/>
                                <a:moveTo>
                                  <a:pt x="382" y="108"/>
                                </a:moveTo>
                                <a:lnTo>
                                  <a:pt x="381" y="106"/>
                                </a:lnTo>
                                <a:lnTo>
                                  <a:pt x="378" y="106"/>
                                </a:lnTo>
                                <a:lnTo>
                                  <a:pt x="376" y="106"/>
                                </a:lnTo>
                                <a:lnTo>
                                  <a:pt x="374" y="108"/>
                                </a:lnTo>
                                <a:lnTo>
                                  <a:pt x="374" y="157"/>
                                </a:lnTo>
                                <a:lnTo>
                                  <a:pt x="376" y="158"/>
                                </a:lnTo>
                                <a:lnTo>
                                  <a:pt x="381" y="158"/>
                                </a:lnTo>
                                <a:lnTo>
                                  <a:pt x="382" y="157"/>
                                </a:lnTo>
                                <a:lnTo>
                                  <a:pt x="382" y="108"/>
                                </a:lnTo>
                                <a:close/>
                                <a:moveTo>
                                  <a:pt x="382" y="2"/>
                                </a:moveTo>
                                <a:lnTo>
                                  <a:pt x="381" y="0"/>
                                </a:lnTo>
                                <a:lnTo>
                                  <a:pt x="378" y="0"/>
                                </a:lnTo>
                                <a:lnTo>
                                  <a:pt x="376" y="0"/>
                                </a:lnTo>
                                <a:lnTo>
                                  <a:pt x="374" y="2"/>
                                </a:lnTo>
                                <a:lnTo>
                                  <a:pt x="374" y="47"/>
                                </a:lnTo>
                                <a:lnTo>
                                  <a:pt x="376" y="49"/>
                                </a:lnTo>
                                <a:lnTo>
                                  <a:pt x="381" y="49"/>
                                </a:lnTo>
                                <a:lnTo>
                                  <a:pt x="382" y="47"/>
                                </a:lnTo>
                                <a:lnTo>
                                  <a:pt x="382" y="2"/>
                                </a:lnTo>
                                <a:close/>
                              </a:path>
                            </a:pathLst>
                          </a:custGeom>
                          <a:solidFill>
                            <a:srgbClr val="A9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docshape1851"/>
                        <wps:cNvSpPr>
                          <a:spLocks/>
                        </wps:cNvSpPr>
                        <wps:spPr bwMode="auto">
                          <a:xfrm>
                            <a:off x="292" y="15357"/>
                            <a:ext cx="258" cy="757"/>
                          </a:xfrm>
                          <a:custGeom>
                            <a:avLst/>
                            <a:gdLst>
                              <a:gd name="T0" fmla="+- 0 319 293"/>
                              <a:gd name="T1" fmla="*/ T0 w 258"/>
                              <a:gd name="T2" fmla="+- 0 16028 15358"/>
                              <a:gd name="T3" fmla="*/ 16028 h 757"/>
                              <a:gd name="T4" fmla="+- 0 315 293"/>
                              <a:gd name="T5" fmla="*/ T4 w 258"/>
                              <a:gd name="T6" fmla="+- 0 15869 15358"/>
                              <a:gd name="T7" fmla="*/ 15869 h 757"/>
                              <a:gd name="T8" fmla="+- 0 313 293"/>
                              <a:gd name="T9" fmla="*/ T8 w 258"/>
                              <a:gd name="T10" fmla="+- 0 15803 15358"/>
                              <a:gd name="T11" fmla="*/ 15803 h 757"/>
                              <a:gd name="T12" fmla="+- 0 319 293"/>
                              <a:gd name="T13" fmla="*/ T12 w 258"/>
                              <a:gd name="T14" fmla="+- 0 15719 15358"/>
                              <a:gd name="T15" fmla="*/ 15719 h 757"/>
                              <a:gd name="T16" fmla="+- 0 321 293"/>
                              <a:gd name="T17" fmla="*/ T16 w 258"/>
                              <a:gd name="T18" fmla="+- 0 15500 15358"/>
                              <a:gd name="T19" fmla="*/ 15500 h 757"/>
                              <a:gd name="T20" fmla="+- 0 340 293"/>
                              <a:gd name="T21" fmla="*/ T20 w 258"/>
                              <a:gd name="T22" fmla="+- 0 16043 15358"/>
                              <a:gd name="T23" fmla="*/ 16043 h 757"/>
                              <a:gd name="T24" fmla="+- 0 336 293"/>
                              <a:gd name="T25" fmla="*/ T24 w 258"/>
                              <a:gd name="T26" fmla="+- 0 15895 15358"/>
                              <a:gd name="T27" fmla="*/ 15895 h 757"/>
                              <a:gd name="T28" fmla="+- 0 334 293"/>
                              <a:gd name="T29" fmla="*/ T28 w 258"/>
                              <a:gd name="T30" fmla="+- 0 15802 15358"/>
                              <a:gd name="T31" fmla="*/ 15802 h 757"/>
                              <a:gd name="T32" fmla="+- 0 340 293"/>
                              <a:gd name="T33" fmla="*/ T32 w 258"/>
                              <a:gd name="T34" fmla="+- 0 15730 15358"/>
                              <a:gd name="T35" fmla="*/ 15730 h 757"/>
                              <a:gd name="T36" fmla="+- 0 342 293"/>
                              <a:gd name="T37" fmla="*/ T36 w 258"/>
                              <a:gd name="T38" fmla="+- 0 15527 15358"/>
                              <a:gd name="T39" fmla="*/ 15527 h 757"/>
                              <a:gd name="T40" fmla="+- 0 361 293"/>
                              <a:gd name="T41" fmla="*/ T40 w 258"/>
                              <a:gd name="T42" fmla="+- 0 16053 15358"/>
                              <a:gd name="T43" fmla="*/ 16053 h 757"/>
                              <a:gd name="T44" fmla="+- 0 357 293"/>
                              <a:gd name="T45" fmla="*/ T44 w 258"/>
                              <a:gd name="T46" fmla="+- 0 15920 15358"/>
                              <a:gd name="T47" fmla="*/ 15920 h 757"/>
                              <a:gd name="T48" fmla="+- 0 355 293"/>
                              <a:gd name="T49" fmla="*/ T48 w 258"/>
                              <a:gd name="T50" fmla="+- 0 15792 15358"/>
                              <a:gd name="T51" fmla="*/ 15792 h 757"/>
                              <a:gd name="T52" fmla="+- 0 361 293"/>
                              <a:gd name="T53" fmla="*/ T52 w 258"/>
                              <a:gd name="T54" fmla="+- 0 15732 15358"/>
                              <a:gd name="T55" fmla="*/ 15732 h 757"/>
                              <a:gd name="T56" fmla="+- 0 363 293"/>
                              <a:gd name="T57" fmla="*/ T56 w 258"/>
                              <a:gd name="T58" fmla="+- 0 15553 15358"/>
                              <a:gd name="T59" fmla="*/ 15553 h 757"/>
                              <a:gd name="T60" fmla="+- 0 382 293"/>
                              <a:gd name="T61" fmla="*/ T60 w 258"/>
                              <a:gd name="T62" fmla="+- 0 16060 15358"/>
                              <a:gd name="T63" fmla="*/ 16060 h 757"/>
                              <a:gd name="T64" fmla="+- 0 377 293"/>
                              <a:gd name="T65" fmla="*/ T64 w 258"/>
                              <a:gd name="T66" fmla="+- 0 15940 15358"/>
                              <a:gd name="T67" fmla="*/ 15940 h 757"/>
                              <a:gd name="T68" fmla="+- 0 376 293"/>
                              <a:gd name="T69" fmla="*/ T68 w 258"/>
                              <a:gd name="T70" fmla="+- 0 15883 15358"/>
                              <a:gd name="T71" fmla="*/ 15883 h 757"/>
                              <a:gd name="T72" fmla="+- 0 382 293"/>
                              <a:gd name="T73" fmla="*/ T72 w 258"/>
                              <a:gd name="T74" fmla="+- 0 15786 15358"/>
                              <a:gd name="T75" fmla="*/ 15786 h 757"/>
                              <a:gd name="T76" fmla="+- 0 384 293"/>
                              <a:gd name="T77" fmla="*/ T76 w 258"/>
                              <a:gd name="T78" fmla="+- 0 15573 15358"/>
                              <a:gd name="T79" fmla="*/ 15573 h 757"/>
                              <a:gd name="T80" fmla="+- 0 382 293"/>
                              <a:gd name="T81" fmla="*/ T80 w 258"/>
                              <a:gd name="T82" fmla="+- 0 15364 15358"/>
                              <a:gd name="T83" fmla="*/ 15364 h 757"/>
                              <a:gd name="T84" fmla="+- 0 398 293"/>
                              <a:gd name="T85" fmla="*/ T84 w 258"/>
                              <a:gd name="T86" fmla="+- 0 15954 15358"/>
                              <a:gd name="T87" fmla="*/ 15954 h 757"/>
                              <a:gd name="T88" fmla="+- 0 396 293"/>
                              <a:gd name="T89" fmla="*/ T88 w 258"/>
                              <a:gd name="T90" fmla="+- 0 15891 15358"/>
                              <a:gd name="T91" fmla="*/ 15891 h 757"/>
                              <a:gd name="T92" fmla="+- 0 403 293"/>
                              <a:gd name="T93" fmla="*/ T92 w 258"/>
                              <a:gd name="T94" fmla="+- 0 15781 15358"/>
                              <a:gd name="T95" fmla="*/ 15781 h 757"/>
                              <a:gd name="T96" fmla="+- 0 404 293"/>
                              <a:gd name="T97" fmla="*/ T96 w 258"/>
                              <a:gd name="T98" fmla="+- 0 15586 15358"/>
                              <a:gd name="T99" fmla="*/ 15586 h 757"/>
                              <a:gd name="T100" fmla="+- 0 403 293"/>
                              <a:gd name="T101" fmla="*/ T100 w 258"/>
                              <a:gd name="T102" fmla="+- 0 15360 15358"/>
                              <a:gd name="T103" fmla="*/ 15360 h 757"/>
                              <a:gd name="T104" fmla="+- 0 419 293"/>
                              <a:gd name="T105" fmla="*/ T104 w 258"/>
                              <a:gd name="T106" fmla="+- 0 15959 15358"/>
                              <a:gd name="T107" fmla="*/ 15959 h 757"/>
                              <a:gd name="T108" fmla="+- 0 417 293"/>
                              <a:gd name="T109" fmla="*/ T108 w 258"/>
                              <a:gd name="T110" fmla="+- 0 15885 15358"/>
                              <a:gd name="T111" fmla="*/ 15885 h 757"/>
                              <a:gd name="T112" fmla="+- 0 423 293"/>
                              <a:gd name="T113" fmla="*/ T112 w 258"/>
                              <a:gd name="T114" fmla="+- 0 15778 15358"/>
                              <a:gd name="T115" fmla="*/ 15778 h 757"/>
                              <a:gd name="T116" fmla="+- 0 425 293"/>
                              <a:gd name="T117" fmla="*/ T116 w 258"/>
                              <a:gd name="T118" fmla="+- 0 15592 15358"/>
                              <a:gd name="T119" fmla="*/ 15592 h 757"/>
                              <a:gd name="T120" fmla="+- 0 423 293"/>
                              <a:gd name="T121" fmla="*/ T120 w 258"/>
                              <a:gd name="T122" fmla="+- 0 15358 15358"/>
                              <a:gd name="T123" fmla="*/ 15358 h 757"/>
                              <a:gd name="T124" fmla="+- 0 440 293"/>
                              <a:gd name="T125" fmla="*/ T124 w 258"/>
                              <a:gd name="T126" fmla="+- 0 15961 15358"/>
                              <a:gd name="T127" fmla="*/ 15961 h 757"/>
                              <a:gd name="T128" fmla="+- 0 438 293"/>
                              <a:gd name="T129" fmla="*/ T128 w 258"/>
                              <a:gd name="T130" fmla="+- 0 15884 15358"/>
                              <a:gd name="T131" fmla="*/ 15884 h 757"/>
                              <a:gd name="T132" fmla="+- 0 444 293"/>
                              <a:gd name="T133" fmla="*/ T132 w 258"/>
                              <a:gd name="T134" fmla="+- 0 15777 15358"/>
                              <a:gd name="T135" fmla="*/ 15777 h 757"/>
                              <a:gd name="T136" fmla="+- 0 446 293"/>
                              <a:gd name="T137" fmla="*/ T136 w 258"/>
                              <a:gd name="T138" fmla="+- 0 15594 15358"/>
                              <a:gd name="T139" fmla="*/ 15594 h 757"/>
                              <a:gd name="T140" fmla="+- 0 444 293"/>
                              <a:gd name="T141" fmla="*/ T140 w 258"/>
                              <a:gd name="T142" fmla="+- 0 15358 15358"/>
                              <a:gd name="T143" fmla="*/ 15358 h 757"/>
                              <a:gd name="T144" fmla="+- 0 461 293"/>
                              <a:gd name="T145" fmla="*/ T144 w 258"/>
                              <a:gd name="T146" fmla="+- 0 15958 15358"/>
                              <a:gd name="T147" fmla="*/ 15958 h 757"/>
                              <a:gd name="T148" fmla="+- 0 459 293"/>
                              <a:gd name="T149" fmla="*/ T148 w 258"/>
                              <a:gd name="T150" fmla="+- 0 15886 15358"/>
                              <a:gd name="T151" fmla="*/ 15886 h 757"/>
                              <a:gd name="T152" fmla="+- 0 465 293"/>
                              <a:gd name="T153" fmla="*/ T152 w 258"/>
                              <a:gd name="T154" fmla="+- 0 15779 15358"/>
                              <a:gd name="T155" fmla="*/ 15779 h 757"/>
                              <a:gd name="T156" fmla="+- 0 467 293"/>
                              <a:gd name="T157" fmla="*/ T156 w 258"/>
                              <a:gd name="T158" fmla="+- 0 15591 15358"/>
                              <a:gd name="T159" fmla="*/ 15591 h 757"/>
                              <a:gd name="T160" fmla="+- 0 465 293"/>
                              <a:gd name="T161" fmla="*/ T160 w 258"/>
                              <a:gd name="T162" fmla="+- 0 15358 15358"/>
                              <a:gd name="T163" fmla="*/ 15358 h 757"/>
                              <a:gd name="T164" fmla="+- 0 481 293"/>
                              <a:gd name="T165" fmla="*/ T164 w 258"/>
                              <a:gd name="T166" fmla="+- 0 15951 15358"/>
                              <a:gd name="T167" fmla="*/ 15951 h 757"/>
                              <a:gd name="T168" fmla="+- 0 480 293"/>
                              <a:gd name="T169" fmla="*/ T168 w 258"/>
                              <a:gd name="T170" fmla="+- 0 15894 15358"/>
                              <a:gd name="T171" fmla="*/ 15894 h 757"/>
                              <a:gd name="T172" fmla="+- 0 486 293"/>
                              <a:gd name="T173" fmla="*/ T172 w 258"/>
                              <a:gd name="T174" fmla="+- 0 15781 15358"/>
                              <a:gd name="T175" fmla="*/ 15781 h 757"/>
                              <a:gd name="T176" fmla="+- 0 487 293"/>
                              <a:gd name="T177" fmla="*/ T176 w 258"/>
                              <a:gd name="T178" fmla="+- 0 15583 15358"/>
                              <a:gd name="T179" fmla="*/ 15583 h 757"/>
                              <a:gd name="T180" fmla="+- 0 486 293"/>
                              <a:gd name="T181" fmla="*/ T180 w 258"/>
                              <a:gd name="T182" fmla="+- 0 15360 15358"/>
                              <a:gd name="T183" fmla="*/ 15360 h 757"/>
                              <a:gd name="T184" fmla="+- 0 502 293"/>
                              <a:gd name="T185" fmla="*/ T184 w 258"/>
                              <a:gd name="T186" fmla="+- 0 15934 15358"/>
                              <a:gd name="T187" fmla="*/ 15934 h 757"/>
                              <a:gd name="T188" fmla="+- 0 500 293"/>
                              <a:gd name="T189" fmla="*/ T188 w 258"/>
                              <a:gd name="T190" fmla="+- 0 15910 15358"/>
                              <a:gd name="T191" fmla="*/ 15910 h 757"/>
                              <a:gd name="T192" fmla="+- 0 506 293"/>
                              <a:gd name="T193" fmla="*/ T192 w 258"/>
                              <a:gd name="T194" fmla="+- 0 15789 15358"/>
                              <a:gd name="T195" fmla="*/ 15789 h 757"/>
                              <a:gd name="T196" fmla="+- 0 508 293"/>
                              <a:gd name="T197" fmla="*/ T196 w 258"/>
                              <a:gd name="T198" fmla="+- 0 15568 15358"/>
                              <a:gd name="T199" fmla="*/ 15568 h 757"/>
                              <a:gd name="T200" fmla="+- 0 506 293"/>
                              <a:gd name="T201" fmla="*/ T200 w 258"/>
                              <a:gd name="T202" fmla="+- 0 15365 15358"/>
                              <a:gd name="T203" fmla="*/ 15365 h 757"/>
                              <a:gd name="T204" fmla="+- 0 523 293"/>
                              <a:gd name="T205" fmla="*/ T204 w 258"/>
                              <a:gd name="T206" fmla="+- 0 16050 15358"/>
                              <a:gd name="T207" fmla="*/ 16050 h 757"/>
                              <a:gd name="T208" fmla="+- 0 521 293"/>
                              <a:gd name="T209" fmla="*/ T208 w 258"/>
                              <a:gd name="T210" fmla="+- 0 15980 15358"/>
                              <a:gd name="T211" fmla="*/ 15980 h 757"/>
                              <a:gd name="T212" fmla="+- 0 527 293"/>
                              <a:gd name="T213" fmla="*/ T212 w 258"/>
                              <a:gd name="T214" fmla="+- 0 15797 15358"/>
                              <a:gd name="T215" fmla="*/ 15797 h 757"/>
                              <a:gd name="T216" fmla="+- 0 529 293"/>
                              <a:gd name="T217" fmla="*/ T216 w 258"/>
                              <a:gd name="T218" fmla="+- 0 15682 15358"/>
                              <a:gd name="T219" fmla="*/ 15682 h 757"/>
                              <a:gd name="T220" fmla="+- 0 527 293"/>
                              <a:gd name="T221" fmla="*/ T220 w 258"/>
                              <a:gd name="T222" fmla="+- 0 15372 15358"/>
                              <a:gd name="T223" fmla="*/ 15372 h 757"/>
                              <a:gd name="T224" fmla="+- 0 544 293"/>
                              <a:gd name="T225" fmla="*/ T224 w 258"/>
                              <a:gd name="T226" fmla="+- 0 16039 15358"/>
                              <a:gd name="T227" fmla="*/ 16039 h 757"/>
                              <a:gd name="T228" fmla="+- 0 542 293"/>
                              <a:gd name="T229" fmla="*/ T228 w 258"/>
                              <a:gd name="T230" fmla="+- 0 15964 15358"/>
                              <a:gd name="T231" fmla="*/ 15964 h 757"/>
                              <a:gd name="T232" fmla="+- 0 548 293"/>
                              <a:gd name="T233" fmla="*/ T232 w 258"/>
                              <a:gd name="T234" fmla="+- 0 15808 15358"/>
                              <a:gd name="T235" fmla="*/ 15808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8" h="757">
                                <a:moveTo>
                                  <a:pt x="7" y="46"/>
                                </a:moveTo>
                                <a:lnTo>
                                  <a:pt x="6" y="44"/>
                                </a:lnTo>
                                <a:lnTo>
                                  <a:pt x="4" y="44"/>
                                </a:lnTo>
                                <a:lnTo>
                                  <a:pt x="1" y="44"/>
                                </a:lnTo>
                                <a:lnTo>
                                  <a:pt x="0" y="46"/>
                                </a:lnTo>
                                <a:lnTo>
                                  <a:pt x="0" y="68"/>
                                </a:lnTo>
                                <a:lnTo>
                                  <a:pt x="1" y="69"/>
                                </a:lnTo>
                                <a:lnTo>
                                  <a:pt x="6" y="69"/>
                                </a:lnTo>
                                <a:lnTo>
                                  <a:pt x="7" y="68"/>
                                </a:lnTo>
                                <a:lnTo>
                                  <a:pt x="7" y="46"/>
                                </a:lnTo>
                                <a:close/>
                                <a:moveTo>
                                  <a:pt x="28" y="672"/>
                                </a:moveTo>
                                <a:lnTo>
                                  <a:pt x="26" y="670"/>
                                </a:lnTo>
                                <a:lnTo>
                                  <a:pt x="24" y="670"/>
                                </a:lnTo>
                                <a:lnTo>
                                  <a:pt x="22" y="670"/>
                                </a:lnTo>
                                <a:lnTo>
                                  <a:pt x="20" y="672"/>
                                </a:lnTo>
                                <a:lnTo>
                                  <a:pt x="20" y="728"/>
                                </a:lnTo>
                                <a:lnTo>
                                  <a:pt x="22" y="729"/>
                                </a:lnTo>
                                <a:lnTo>
                                  <a:pt x="26" y="729"/>
                                </a:lnTo>
                                <a:lnTo>
                                  <a:pt x="28" y="728"/>
                                </a:lnTo>
                                <a:lnTo>
                                  <a:pt x="28" y="672"/>
                                </a:lnTo>
                                <a:close/>
                                <a:moveTo>
                                  <a:pt x="28" y="512"/>
                                </a:moveTo>
                                <a:lnTo>
                                  <a:pt x="26" y="511"/>
                                </a:lnTo>
                                <a:lnTo>
                                  <a:pt x="24" y="511"/>
                                </a:lnTo>
                                <a:lnTo>
                                  <a:pt x="22" y="511"/>
                                </a:lnTo>
                                <a:lnTo>
                                  <a:pt x="20" y="512"/>
                                </a:lnTo>
                                <a:lnTo>
                                  <a:pt x="20" y="586"/>
                                </a:lnTo>
                                <a:lnTo>
                                  <a:pt x="22" y="588"/>
                                </a:lnTo>
                                <a:lnTo>
                                  <a:pt x="26" y="588"/>
                                </a:lnTo>
                                <a:lnTo>
                                  <a:pt x="28" y="586"/>
                                </a:lnTo>
                                <a:lnTo>
                                  <a:pt x="28" y="512"/>
                                </a:lnTo>
                                <a:close/>
                                <a:moveTo>
                                  <a:pt x="28" y="401"/>
                                </a:moveTo>
                                <a:lnTo>
                                  <a:pt x="26" y="400"/>
                                </a:lnTo>
                                <a:lnTo>
                                  <a:pt x="24" y="400"/>
                                </a:lnTo>
                                <a:lnTo>
                                  <a:pt x="22" y="400"/>
                                </a:lnTo>
                                <a:lnTo>
                                  <a:pt x="20" y="401"/>
                                </a:lnTo>
                                <a:lnTo>
                                  <a:pt x="20" y="445"/>
                                </a:lnTo>
                                <a:lnTo>
                                  <a:pt x="22" y="447"/>
                                </a:lnTo>
                                <a:lnTo>
                                  <a:pt x="26" y="447"/>
                                </a:lnTo>
                                <a:lnTo>
                                  <a:pt x="28" y="445"/>
                                </a:lnTo>
                                <a:lnTo>
                                  <a:pt x="28" y="401"/>
                                </a:lnTo>
                                <a:close/>
                                <a:moveTo>
                                  <a:pt x="28" y="303"/>
                                </a:moveTo>
                                <a:lnTo>
                                  <a:pt x="26" y="301"/>
                                </a:lnTo>
                                <a:lnTo>
                                  <a:pt x="24" y="301"/>
                                </a:lnTo>
                                <a:lnTo>
                                  <a:pt x="22" y="301"/>
                                </a:lnTo>
                                <a:lnTo>
                                  <a:pt x="20" y="303"/>
                                </a:lnTo>
                                <a:lnTo>
                                  <a:pt x="20" y="359"/>
                                </a:lnTo>
                                <a:lnTo>
                                  <a:pt x="22" y="361"/>
                                </a:lnTo>
                                <a:lnTo>
                                  <a:pt x="26" y="361"/>
                                </a:lnTo>
                                <a:lnTo>
                                  <a:pt x="28" y="359"/>
                                </a:lnTo>
                                <a:lnTo>
                                  <a:pt x="28" y="303"/>
                                </a:lnTo>
                                <a:close/>
                                <a:moveTo>
                                  <a:pt x="28" y="142"/>
                                </a:moveTo>
                                <a:lnTo>
                                  <a:pt x="26" y="141"/>
                                </a:lnTo>
                                <a:lnTo>
                                  <a:pt x="24" y="141"/>
                                </a:lnTo>
                                <a:lnTo>
                                  <a:pt x="22" y="141"/>
                                </a:lnTo>
                                <a:lnTo>
                                  <a:pt x="20" y="142"/>
                                </a:lnTo>
                                <a:lnTo>
                                  <a:pt x="20" y="216"/>
                                </a:lnTo>
                                <a:lnTo>
                                  <a:pt x="22" y="218"/>
                                </a:lnTo>
                                <a:lnTo>
                                  <a:pt x="26" y="218"/>
                                </a:lnTo>
                                <a:lnTo>
                                  <a:pt x="28" y="216"/>
                                </a:lnTo>
                                <a:lnTo>
                                  <a:pt x="28" y="142"/>
                                </a:lnTo>
                                <a:close/>
                                <a:moveTo>
                                  <a:pt x="28" y="32"/>
                                </a:moveTo>
                                <a:lnTo>
                                  <a:pt x="26" y="30"/>
                                </a:lnTo>
                                <a:lnTo>
                                  <a:pt x="24" y="30"/>
                                </a:lnTo>
                                <a:lnTo>
                                  <a:pt x="22" y="30"/>
                                </a:lnTo>
                                <a:lnTo>
                                  <a:pt x="20" y="32"/>
                                </a:lnTo>
                                <a:lnTo>
                                  <a:pt x="20" y="75"/>
                                </a:lnTo>
                                <a:lnTo>
                                  <a:pt x="22" y="77"/>
                                </a:lnTo>
                                <a:lnTo>
                                  <a:pt x="26" y="77"/>
                                </a:lnTo>
                                <a:lnTo>
                                  <a:pt x="28" y="75"/>
                                </a:lnTo>
                                <a:lnTo>
                                  <a:pt x="28" y="32"/>
                                </a:lnTo>
                                <a:close/>
                                <a:moveTo>
                                  <a:pt x="49" y="686"/>
                                </a:moveTo>
                                <a:lnTo>
                                  <a:pt x="47" y="685"/>
                                </a:lnTo>
                                <a:lnTo>
                                  <a:pt x="45" y="685"/>
                                </a:lnTo>
                                <a:lnTo>
                                  <a:pt x="43" y="685"/>
                                </a:lnTo>
                                <a:lnTo>
                                  <a:pt x="41" y="686"/>
                                </a:lnTo>
                                <a:lnTo>
                                  <a:pt x="41" y="739"/>
                                </a:lnTo>
                                <a:lnTo>
                                  <a:pt x="43" y="741"/>
                                </a:lnTo>
                                <a:lnTo>
                                  <a:pt x="47" y="741"/>
                                </a:lnTo>
                                <a:lnTo>
                                  <a:pt x="49" y="739"/>
                                </a:lnTo>
                                <a:lnTo>
                                  <a:pt x="49" y="686"/>
                                </a:lnTo>
                                <a:close/>
                                <a:moveTo>
                                  <a:pt x="49" y="539"/>
                                </a:moveTo>
                                <a:lnTo>
                                  <a:pt x="47" y="537"/>
                                </a:lnTo>
                                <a:lnTo>
                                  <a:pt x="45" y="537"/>
                                </a:lnTo>
                                <a:lnTo>
                                  <a:pt x="43" y="537"/>
                                </a:lnTo>
                                <a:lnTo>
                                  <a:pt x="41" y="539"/>
                                </a:lnTo>
                                <a:lnTo>
                                  <a:pt x="41" y="609"/>
                                </a:lnTo>
                                <a:lnTo>
                                  <a:pt x="43" y="611"/>
                                </a:lnTo>
                                <a:lnTo>
                                  <a:pt x="47" y="611"/>
                                </a:lnTo>
                                <a:lnTo>
                                  <a:pt x="49" y="609"/>
                                </a:lnTo>
                                <a:lnTo>
                                  <a:pt x="49" y="539"/>
                                </a:lnTo>
                                <a:close/>
                                <a:moveTo>
                                  <a:pt x="49" y="390"/>
                                </a:moveTo>
                                <a:lnTo>
                                  <a:pt x="47" y="389"/>
                                </a:lnTo>
                                <a:lnTo>
                                  <a:pt x="45" y="389"/>
                                </a:lnTo>
                                <a:lnTo>
                                  <a:pt x="43" y="389"/>
                                </a:lnTo>
                                <a:lnTo>
                                  <a:pt x="41" y="390"/>
                                </a:lnTo>
                                <a:lnTo>
                                  <a:pt x="41" y="444"/>
                                </a:lnTo>
                                <a:lnTo>
                                  <a:pt x="43" y="446"/>
                                </a:lnTo>
                                <a:lnTo>
                                  <a:pt x="47" y="446"/>
                                </a:lnTo>
                                <a:lnTo>
                                  <a:pt x="49" y="444"/>
                                </a:lnTo>
                                <a:lnTo>
                                  <a:pt x="49" y="390"/>
                                </a:lnTo>
                                <a:close/>
                                <a:moveTo>
                                  <a:pt x="49" y="317"/>
                                </a:moveTo>
                                <a:lnTo>
                                  <a:pt x="47" y="315"/>
                                </a:lnTo>
                                <a:lnTo>
                                  <a:pt x="45" y="315"/>
                                </a:lnTo>
                                <a:lnTo>
                                  <a:pt x="43" y="315"/>
                                </a:lnTo>
                                <a:lnTo>
                                  <a:pt x="41" y="317"/>
                                </a:lnTo>
                                <a:lnTo>
                                  <a:pt x="41" y="370"/>
                                </a:lnTo>
                                <a:lnTo>
                                  <a:pt x="43" y="372"/>
                                </a:lnTo>
                                <a:lnTo>
                                  <a:pt x="47" y="372"/>
                                </a:lnTo>
                                <a:lnTo>
                                  <a:pt x="49" y="370"/>
                                </a:lnTo>
                                <a:lnTo>
                                  <a:pt x="49" y="317"/>
                                </a:lnTo>
                                <a:close/>
                                <a:moveTo>
                                  <a:pt x="49" y="169"/>
                                </a:moveTo>
                                <a:lnTo>
                                  <a:pt x="47" y="167"/>
                                </a:lnTo>
                                <a:lnTo>
                                  <a:pt x="45" y="167"/>
                                </a:lnTo>
                                <a:lnTo>
                                  <a:pt x="43" y="167"/>
                                </a:lnTo>
                                <a:lnTo>
                                  <a:pt x="41" y="169"/>
                                </a:lnTo>
                                <a:lnTo>
                                  <a:pt x="41" y="240"/>
                                </a:lnTo>
                                <a:lnTo>
                                  <a:pt x="43" y="241"/>
                                </a:lnTo>
                                <a:lnTo>
                                  <a:pt x="47" y="241"/>
                                </a:lnTo>
                                <a:lnTo>
                                  <a:pt x="49" y="240"/>
                                </a:lnTo>
                                <a:lnTo>
                                  <a:pt x="49" y="169"/>
                                </a:lnTo>
                                <a:close/>
                                <a:moveTo>
                                  <a:pt x="49" y="22"/>
                                </a:moveTo>
                                <a:lnTo>
                                  <a:pt x="47" y="20"/>
                                </a:lnTo>
                                <a:lnTo>
                                  <a:pt x="45" y="20"/>
                                </a:lnTo>
                                <a:lnTo>
                                  <a:pt x="43" y="20"/>
                                </a:lnTo>
                                <a:lnTo>
                                  <a:pt x="41" y="22"/>
                                </a:lnTo>
                                <a:lnTo>
                                  <a:pt x="41" y="76"/>
                                </a:lnTo>
                                <a:lnTo>
                                  <a:pt x="43" y="77"/>
                                </a:lnTo>
                                <a:lnTo>
                                  <a:pt x="47" y="77"/>
                                </a:lnTo>
                                <a:lnTo>
                                  <a:pt x="49" y="76"/>
                                </a:lnTo>
                                <a:lnTo>
                                  <a:pt x="49" y="22"/>
                                </a:lnTo>
                                <a:close/>
                                <a:moveTo>
                                  <a:pt x="70" y="697"/>
                                </a:moveTo>
                                <a:lnTo>
                                  <a:pt x="68" y="695"/>
                                </a:lnTo>
                                <a:lnTo>
                                  <a:pt x="66" y="695"/>
                                </a:lnTo>
                                <a:lnTo>
                                  <a:pt x="64" y="695"/>
                                </a:lnTo>
                                <a:lnTo>
                                  <a:pt x="62" y="697"/>
                                </a:lnTo>
                                <a:lnTo>
                                  <a:pt x="62" y="748"/>
                                </a:lnTo>
                                <a:lnTo>
                                  <a:pt x="64" y="750"/>
                                </a:lnTo>
                                <a:lnTo>
                                  <a:pt x="68" y="750"/>
                                </a:lnTo>
                                <a:lnTo>
                                  <a:pt x="70" y="748"/>
                                </a:lnTo>
                                <a:lnTo>
                                  <a:pt x="70" y="697"/>
                                </a:lnTo>
                                <a:close/>
                                <a:moveTo>
                                  <a:pt x="70" y="564"/>
                                </a:moveTo>
                                <a:lnTo>
                                  <a:pt x="68" y="562"/>
                                </a:lnTo>
                                <a:lnTo>
                                  <a:pt x="66" y="562"/>
                                </a:lnTo>
                                <a:lnTo>
                                  <a:pt x="64" y="562"/>
                                </a:lnTo>
                                <a:lnTo>
                                  <a:pt x="62" y="564"/>
                                </a:lnTo>
                                <a:lnTo>
                                  <a:pt x="62" y="627"/>
                                </a:lnTo>
                                <a:lnTo>
                                  <a:pt x="64" y="629"/>
                                </a:lnTo>
                                <a:lnTo>
                                  <a:pt x="68" y="629"/>
                                </a:lnTo>
                                <a:lnTo>
                                  <a:pt x="70" y="627"/>
                                </a:lnTo>
                                <a:lnTo>
                                  <a:pt x="70" y="564"/>
                                </a:lnTo>
                                <a:close/>
                                <a:moveTo>
                                  <a:pt x="70" y="386"/>
                                </a:moveTo>
                                <a:lnTo>
                                  <a:pt x="68" y="384"/>
                                </a:lnTo>
                                <a:lnTo>
                                  <a:pt x="66" y="384"/>
                                </a:lnTo>
                                <a:lnTo>
                                  <a:pt x="64" y="384"/>
                                </a:lnTo>
                                <a:lnTo>
                                  <a:pt x="62" y="386"/>
                                </a:lnTo>
                                <a:lnTo>
                                  <a:pt x="62" y="434"/>
                                </a:lnTo>
                                <a:lnTo>
                                  <a:pt x="64" y="436"/>
                                </a:lnTo>
                                <a:lnTo>
                                  <a:pt x="68" y="436"/>
                                </a:lnTo>
                                <a:lnTo>
                                  <a:pt x="70" y="434"/>
                                </a:lnTo>
                                <a:lnTo>
                                  <a:pt x="70" y="386"/>
                                </a:lnTo>
                                <a:close/>
                                <a:moveTo>
                                  <a:pt x="70" y="327"/>
                                </a:moveTo>
                                <a:lnTo>
                                  <a:pt x="68" y="325"/>
                                </a:lnTo>
                                <a:lnTo>
                                  <a:pt x="66" y="325"/>
                                </a:lnTo>
                                <a:lnTo>
                                  <a:pt x="64" y="325"/>
                                </a:lnTo>
                                <a:lnTo>
                                  <a:pt x="62" y="327"/>
                                </a:lnTo>
                                <a:lnTo>
                                  <a:pt x="62" y="373"/>
                                </a:lnTo>
                                <a:lnTo>
                                  <a:pt x="64" y="374"/>
                                </a:lnTo>
                                <a:lnTo>
                                  <a:pt x="68" y="374"/>
                                </a:lnTo>
                                <a:lnTo>
                                  <a:pt x="70" y="373"/>
                                </a:lnTo>
                                <a:lnTo>
                                  <a:pt x="70" y="327"/>
                                </a:lnTo>
                                <a:close/>
                                <a:moveTo>
                                  <a:pt x="70" y="195"/>
                                </a:moveTo>
                                <a:lnTo>
                                  <a:pt x="68" y="193"/>
                                </a:lnTo>
                                <a:lnTo>
                                  <a:pt x="66" y="193"/>
                                </a:lnTo>
                                <a:lnTo>
                                  <a:pt x="64" y="193"/>
                                </a:lnTo>
                                <a:lnTo>
                                  <a:pt x="62" y="195"/>
                                </a:lnTo>
                                <a:lnTo>
                                  <a:pt x="62" y="258"/>
                                </a:lnTo>
                                <a:lnTo>
                                  <a:pt x="64" y="260"/>
                                </a:lnTo>
                                <a:lnTo>
                                  <a:pt x="68" y="260"/>
                                </a:lnTo>
                                <a:lnTo>
                                  <a:pt x="70" y="258"/>
                                </a:lnTo>
                                <a:lnTo>
                                  <a:pt x="70" y="195"/>
                                </a:lnTo>
                                <a:close/>
                                <a:moveTo>
                                  <a:pt x="70" y="14"/>
                                </a:moveTo>
                                <a:lnTo>
                                  <a:pt x="68" y="12"/>
                                </a:lnTo>
                                <a:lnTo>
                                  <a:pt x="66" y="12"/>
                                </a:lnTo>
                                <a:lnTo>
                                  <a:pt x="64" y="12"/>
                                </a:lnTo>
                                <a:lnTo>
                                  <a:pt x="62" y="14"/>
                                </a:lnTo>
                                <a:lnTo>
                                  <a:pt x="62" y="65"/>
                                </a:lnTo>
                                <a:lnTo>
                                  <a:pt x="64" y="67"/>
                                </a:lnTo>
                                <a:lnTo>
                                  <a:pt x="68" y="67"/>
                                </a:lnTo>
                                <a:lnTo>
                                  <a:pt x="70" y="65"/>
                                </a:lnTo>
                                <a:lnTo>
                                  <a:pt x="70" y="14"/>
                                </a:lnTo>
                                <a:close/>
                                <a:moveTo>
                                  <a:pt x="91" y="704"/>
                                </a:moveTo>
                                <a:lnTo>
                                  <a:pt x="89" y="702"/>
                                </a:lnTo>
                                <a:lnTo>
                                  <a:pt x="87" y="702"/>
                                </a:lnTo>
                                <a:lnTo>
                                  <a:pt x="84" y="702"/>
                                </a:lnTo>
                                <a:lnTo>
                                  <a:pt x="83" y="704"/>
                                </a:lnTo>
                                <a:lnTo>
                                  <a:pt x="83" y="754"/>
                                </a:lnTo>
                                <a:lnTo>
                                  <a:pt x="84" y="756"/>
                                </a:lnTo>
                                <a:lnTo>
                                  <a:pt x="89" y="756"/>
                                </a:lnTo>
                                <a:lnTo>
                                  <a:pt x="91" y="754"/>
                                </a:lnTo>
                                <a:lnTo>
                                  <a:pt x="91" y="704"/>
                                </a:lnTo>
                                <a:close/>
                                <a:moveTo>
                                  <a:pt x="91" y="584"/>
                                </a:moveTo>
                                <a:lnTo>
                                  <a:pt x="89" y="582"/>
                                </a:lnTo>
                                <a:lnTo>
                                  <a:pt x="87" y="582"/>
                                </a:lnTo>
                                <a:lnTo>
                                  <a:pt x="84" y="582"/>
                                </a:lnTo>
                                <a:lnTo>
                                  <a:pt x="83" y="584"/>
                                </a:lnTo>
                                <a:lnTo>
                                  <a:pt x="83" y="639"/>
                                </a:lnTo>
                                <a:lnTo>
                                  <a:pt x="84" y="640"/>
                                </a:lnTo>
                                <a:lnTo>
                                  <a:pt x="89" y="640"/>
                                </a:lnTo>
                                <a:lnTo>
                                  <a:pt x="91" y="639"/>
                                </a:lnTo>
                                <a:lnTo>
                                  <a:pt x="91" y="584"/>
                                </a:lnTo>
                                <a:close/>
                                <a:moveTo>
                                  <a:pt x="91" y="491"/>
                                </a:moveTo>
                                <a:lnTo>
                                  <a:pt x="89" y="489"/>
                                </a:lnTo>
                                <a:lnTo>
                                  <a:pt x="87" y="489"/>
                                </a:lnTo>
                                <a:lnTo>
                                  <a:pt x="84" y="489"/>
                                </a:lnTo>
                                <a:lnTo>
                                  <a:pt x="83" y="491"/>
                                </a:lnTo>
                                <a:lnTo>
                                  <a:pt x="83" y="525"/>
                                </a:lnTo>
                                <a:lnTo>
                                  <a:pt x="84" y="527"/>
                                </a:lnTo>
                                <a:lnTo>
                                  <a:pt x="89" y="527"/>
                                </a:lnTo>
                                <a:lnTo>
                                  <a:pt x="91" y="525"/>
                                </a:lnTo>
                                <a:lnTo>
                                  <a:pt x="91" y="491"/>
                                </a:lnTo>
                                <a:close/>
                                <a:moveTo>
                                  <a:pt x="91" y="335"/>
                                </a:moveTo>
                                <a:lnTo>
                                  <a:pt x="89" y="333"/>
                                </a:lnTo>
                                <a:lnTo>
                                  <a:pt x="87" y="333"/>
                                </a:lnTo>
                                <a:lnTo>
                                  <a:pt x="84" y="333"/>
                                </a:lnTo>
                                <a:lnTo>
                                  <a:pt x="83" y="335"/>
                                </a:lnTo>
                                <a:lnTo>
                                  <a:pt x="83" y="426"/>
                                </a:lnTo>
                                <a:lnTo>
                                  <a:pt x="84" y="428"/>
                                </a:lnTo>
                                <a:lnTo>
                                  <a:pt x="89" y="428"/>
                                </a:lnTo>
                                <a:lnTo>
                                  <a:pt x="91" y="426"/>
                                </a:lnTo>
                                <a:lnTo>
                                  <a:pt x="91" y="335"/>
                                </a:lnTo>
                                <a:close/>
                                <a:moveTo>
                                  <a:pt x="91" y="215"/>
                                </a:moveTo>
                                <a:lnTo>
                                  <a:pt x="89" y="213"/>
                                </a:lnTo>
                                <a:lnTo>
                                  <a:pt x="87" y="213"/>
                                </a:lnTo>
                                <a:lnTo>
                                  <a:pt x="84" y="213"/>
                                </a:lnTo>
                                <a:lnTo>
                                  <a:pt x="83" y="215"/>
                                </a:lnTo>
                                <a:lnTo>
                                  <a:pt x="83" y="269"/>
                                </a:lnTo>
                                <a:lnTo>
                                  <a:pt x="84" y="271"/>
                                </a:lnTo>
                                <a:lnTo>
                                  <a:pt x="89" y="271"/>
                                </a:lnTo>
                                <a:lnTo>
                                  <a:pt x="91" y="269"/>
                                </a:lnTo>
                                <a:lnTo>
                                  <a:pt x="91" y="215"/>
                                </a:lnTo>
                                <a:close/>
                                <a:moveTo>
                                  <a:pt x="91" y="122"/>
                                </a:moveTo>
                                <a:lnTo>
                                  <a:pt x="89" y="120"/>
                                </a:lnTo>
                                <a:lnTo>
                                  <a:pt x="87" y="120"/>
                                </a:lnTo>
                                <a:lnTo>
                                  <a:pt x="84" y="120"/>
                                </a:lnTo>
                                <a:lnTo>
                                  <a:pt x="83" y="122"/>
                                </a:lnTo>
                                <a:lnTo>
                                  <a:pt x="83" y="156"/>
                                </a:lnTo>
                                <a:lnTo>
                                  <a:pt x="84" y="158"/>
                                </a:lnTo>
                                <a:lnTo>
                                  <a:pt x="89" y="158"/>
                                </a:lnTo>
                                <a:lnTo>
                                  <a:pt x="91" y="156"/>
                                </a:lnTo>
                                <a:lnTo>
                                  <a:pt x="91" y="122"/>
                                </a:lnTo>
                                <a:close/>
                                <a:moveTo>
                                  <a:pt x="91" y="8"/>
                                </a:moveTo>
                                <a:lnTo>
                                  <a:pt x="89" y="6"/>
                                </a:lnTo>
                                <a:lnTo>
                                  <a:pt x="87" y="6"/>
                                </a:lnTo>
                                <a:lnTo>
                                  <a:pt x="84" y="6"/>
                                </a:lnTo>
                                <a:lnTo>
                                  <a:pt x="83" y="8"/>
                                </a:lnTo>
                                <a:lnTo>
                                  <a:pt x="83" y="58"/>
                                </a:lnTo>
                                <a:lnTo>
                                  <a:pt x="84" y="59"/>
                                </a:lnTo>
                                <a:lnTo>
                                  <a:pt x="89" y="59"/>
                                </a:lnTo>
                                <a:lnTo>
                                  <a:pt x="91" y="58"/>
                                </a:lnTo>
                                <a:lnTo>
                                  <a:pt x="91" y="8"/>
                                </a:lnTo>
                                <a:close/>
                                <a:moveTo>
                                  <a:pt x="111" y="597"/>
                                </a:moveTo>
                                <a:lnTo>
                                  <a:pt x="110" y="596"/>
                                </a:lnTo>
                                <a:lnTo>
                                  <a:pt x="107" y="596"/>
                                </a:lnTo>
                                <a:lnTo>
                                  <a:pt x="105" y="596"/>
                                </a:lnTo>
                                <a:lnTo>
                                  <a:pt x="103" y="597"/>
                                </a:lnTo>
                                <a:lnTo>
                                  <a:pt x="103" y="647"/>
                                </a:lnTo>
                                <a:lnTo>
                                  <a:pt x="105" y="649"/>
                                </a:lnTo>
                                <a:lnTo>
                                  <a:pt x="110" y="649"/>
                                </a:lnTo>
                                <a:lnTo>
                                  <a:pt x="111" y="647"/>
                                </a:lnTo>
                                <a:lnTo>
                                  <a:pt x="111" y="597"/>
                                </a:lnTo>
                                <a:close/>
                                <a:moveTo>
                                  <a:pt x="111" y="483"/>
                                </a:moveTo>
                                <a:lnTo>
                                  <a:pt x="110" y="481"/>
                                </a:lnTo>
                                <a:lnTo>
                                  <a:pt x="107" y="481"/>
                                </a:lnTo>
                                <a:lnTo>
                                  <a:pt x="105" y="481"/>
                                </a:lnTo>
                                <a:lnTo>
                                  <a:pt x="103" y="483"/>
                                </a:lnTo>
                                <a:lnTo>
                                  <a:pt x="103" y="533"/>
                                </a:lnTo>
                                <a:lnTo>
                                  <a:pt x="105" y="535"/>
                                </a:lnTo>
                                <a:lnTo>
                                  <a:pt x="110" y="535"/>
                                </a:lnTo>
                                <a:lnTo>
                                  <a:pt x="111" y="533"/>
                                </a:lnTo>
                                <a:lnTo>
                                  <a:pt x="111" y="483"/>
                                </a:lnTo>
                                <a:close/>
                                <a:moveTo>
                                  <a:pt x="111" y="340"/>
                                </a:moveTo>
                                <a:lnTo>
                                  <a:pt x="110" y="338"/>
                                </a:lnTo>
                                <a:lnTo>
                                  <a:pt x="107" y="338"/>
                                </a:lnTo>
                                <a:lnTo>
                                  <a:pt x="105" y="338"/>
                                </a:lnTo>
                                <a:lnTo>
                                  <a:pt x="103" y="340"/>
                                </a:lnTo>
                                <a:lnTo>
                                  <a:pt x="103" y="421"/>
                                </a:lnTo>
                                <a:lnTo>
                                  <a:pt x="105" y="423"/>
                                </a:lnTo>
                                <a:lnTo>
                                  <a:pt x="110" y="423"/>
                                </a:lnTo>
                                <a:lnTo>
                                  <a:pt x="111" y="421"/>
                                </a:lnTo>
                                <a:lnTo>
                                  <a:pt x="111" y="340"/>
                                </a:lnTo>
                                <a:close/>
                                <a:moveTo>
                                  <a:pt x="111" y="228"/>
                                </a:moveTo>
                                <a:lnTo>
                                  <a:pt x="110" y="226"/>
                                </a:lnTo>
                                <a:lnTo>
                                  <a:pt x="107" y="226"/>
                                </a:lnTo>
                                <a:lnTo>
                                  <a:pt x="105" y="226"/>
                                </a:lnTo>
                                <a:lnTo>
                                  <a:pt x="103" y="228"/>
                                </a:lnTo>
                                <a:lnTo>
                                  <a:pt x="103" y="278"/>
                                </a:lnTo>
                                <a:lnTo>
                                  <a:pt x="105" y="280"/>
                                </a:lnTo>
                                <a:lnTo>
                                  <a:pt x="110" y="280"/>
                                </a:lnTo>
                                <a:lnTo>
                                  <a:pt x="111" y="278"/>
                                </a:lnTo>
                                <a:lnTo>
                                  <a:pt x="111" y="228"/>
                                </a:lnTo>
                                <a:close/>
                                <a:moveTo>
                                  <a:pt x="111" y="114"/>
                                </a:moveTo>
                                <a:lnTo>
                                  <a:pt x="110" y="112"/>
                                </a:lnTo>
                                <a:lnTo>
                                  <a:pt x="107" y="112"/>
                                </a:lnTo>
                                <a:lnTo>
                                  <a:pt x="105" y="112"/>
                                </a:lnTo>
                                <a:lnTo>
                                  <a:pt x="103" y="114"/>
                                </a:lnTo>
                                <a:lnTo>
                                  <a:pt x="103" y="163"/>
                                </a:lnTo>
                                <a:lnTo>
                                  <a:pt x="105" y="165"/>
                                </a:lnTo>
                                <a:lnTo>
                                  <a:pt x="110" y="165"/>
                                </a:lnTo>
                                <a:lnTo>
                                  <a:pt x="111" y="163"/>
                                </a:lnTo>
                                <a:lnTo>
                                  <a:pt x="111" y="114"/>
                                </a:lnTo>
                                <a:close/>
                                <a:moveTo>
                                  <a:pt x="111" y="4"/>
                                </a:moveTo>
                                <a:lnTo>
                                  <a:pt x="110" y="2"/>
                                </a:lnTo>
                                <a:lnTo>
                                  <a:pt x="107" y="2"/>
                                </a:lnTo>
                                <a:lnTo>
                                  <a:pt x="105" y="2"/>
                                </a:lnTo>
                                <a:lnTo>
                                  <a:pt x="103" y="4"/>
                                </a:lnTo>
                                <a:lnTo>
                                  <a:pt x="103" y="52"/>
                                </a:lnTo>
                                <a:lnTo>
                                  <a:pt x="105" y="54"/>
                                </a:lnTo>
                                <a:lnTo>
                                  <a:pt x="110" y="54"/>
                                </a:lnTo>
                                <a:lnTo>
                                  <a:pt x="111" y="52"/>
                                </a:lnTo>
                                <a:lnTo>
                                  <a:pt x="111" y="4"/>
                                </a:lnTo>
                                <a:close/>
                                <a:moveTo>
                                  <a:pt x="132" y="603"/>
                                </a:moveTo>
                                <a:lnTo>
                                  <a:pt x="130" y="601"/>
                                </a:lnTo>
                                <a:lnTo>
                                  <a:pt x="128" y="601"/>
                                </a:lnTo>
                                <a:lnTo>
                                  <a:pt x="126" y="601"/>
                                </a:lnTo>
                                <a:lnTo>
                                  <a:pt x="124" y="603"/>
                                </a:lnTo>
                                <a:lnTo>
                                  <a:pt x="124" y="651"/>
                                </a:lnTo>
                                <a:lnTo>
                                  <a:pt x="126" y="653"/>
                                </a:lnTo>
                                <a:lnTo>
                                  <a:pt x="130" y="653"/>
                                </a:lnTo>
                                <a:lnTo>
                                  <a:pt x="132" y="651"/>
                                </a:lnTo>
                                <a:lnTo>
                                  <a:pt x="132" y="603"/>
                                </a:lnTo>
                                <a:close/>
                                <a:moveTo>
                                  <a:pt x="132" y="479"/>
                                </a:moveTo>
                                <a:lnTo>
                                  <a:pt x="130" y="477"/>
                                </a:lnTo>
                                <a:lnTo>
                                  <a:pt x="128" y="477"/>
                                </a:lnTo>
                                <a:lnTo>
                                  <a:pt x="126" y="477"/>
                                </a:lnTo>
                                <a:lnTo>
                                  <a:pt x="124" y="479"/>
                                </a:lnTo>
                                <a:lnTo>
                                  <a:pt x="124" y="527"/>
                                </a:lnTo>
                                <a:lnTo>
                                  <a:pt x="126" y="529"/>
                                </a:lnTo>
                                <a:lnTo>
                                  <a:pt x="130" y="529"/>
                                </a:lnTo>
                                <a:lnTo>
                                  <a:pt x="132" y="527"/>
                                </a:lnTo>
                                <a:lnTo>
                                  <a:pt x="132" y="479"/>
                                </a:lnTo>
                                <a:close/>
                                <a:moveTo>
                                  <a:pt x="132" y="342"/>
                                </a:moveTo>
                                <a:lnTo>
                                  <a:pt x="130" y="341"/>
                                </a:lnTo>
                                <a:lnTo>
                                  <a:pt x="128" y="341"/>
                                </a:lnTo>
                                <a:lnTo>
                                  <a:pt x="126" y="341"/>
                                </a:lnTo>
                                <a:lnTo>
                                  <a:pt x="124" y="342"/>
                                </a:lnTo>
                                <a:lnTo>
                                  <a:pt x="124" y="419"/>
                                </a:lnTo>
                                <a:lnTo>
                                  <a:pt x="126" y="420"/>
                                </a:lnTo>
                                <a:lnTo>
                                  <a:pt x="130" y="420"/>
                                </a:lnTo>
                                <a:lnTo>
                                  <a:pt x="132" y="419"/>
                                </a:lnTo>
                                <a:lnTo>
                                  <a:pt x="132" y="342"/>
                                </a:lnTo>
                                <a:close/>
                                <a:moveTo>
                                  <a:pt x="132" y="234"/>
                                </a:moveTo>
                                <a:lnTo>
                                  <a:pt x="130" y="232"/>
                                </a:lnTo>
                                <a:lnTo>
                                  <a:pt x="128" y="232"/>
                                </a:lnTo>
                                <a:lnTo>
                                  <a:pt x="126" y="232"/>
                                </a:lnTo>
                                <a:lnTo>
                                  <a:pt x="124" y="234"/>
                                </a:lnTo>
                                <a:lnTo>
                                  <a:pt x="124" y="283"/>
                                </a:lnTo>
                                <a:lnTo>
                                  <a:pt x="126" y="285"/>
                                </a:lnTo>
                                <a:lnTo>
                                  <a:pt x="130" y="285"/>
                                </a:lnTo>
                                <a:lnTo>
                                  <a:pt x="132" y="283"/>
                                </a:lnTo>
                                <a:lnTo>
                                  <a:pt x="132" y="234"/>
                                </a:lnTo>
                                <a:close/>
                                <a:moveTo>
                                  <a:pt x="132" y="110"/>
                                </a:moveTo>
                                <a:lnTo>
                                  <a:pt x="130" y="108"/>
                                </a:lnTo>
                                <a:lnTo>
                                  <a:pt x="128" y="108"/>
                                </a:lnTo>
                                <a:lnTo>
                                  <a:pt x="126" y="108"/>
                                </a:lnTo>
                                <a:lnTo>
                                  <a:pt x="124" y="110"/>
                                </a:lnTo>
                                <a:lnTo>
                                  <a:pt x="124" y="157"/>
                                </a:lnTo>
                                <a:lnTo>
                                  <a:pt x="126" y="159"/>
                                </a:lnTo>
                                <a:lnTo>
                                  <a:pt x="130" y="159"/>
                                </a:lnTo>
                                <a:lnTo>
                                  <a:pt x="132" y="157"/>
                                </a:lnTo>
                                <a:lnTo>
                                  <a:pt x="132" y="110"/>
                                </a:lnTo>
                                <a:close/>
                                <a:moveTo>
                                  <a:pt x="132" y="1"/>
                                </a:moveTo>
                                <a:lnTo>
                                  <a:pt x="130" y="0"/>
                                </a:lnTo>
                                <a:lnTo>
                                  <a:pt x="128" y="0"/>
                                </a:lnTo>
                                <a:lnTo>
                                  <a:pt x="126" y="0"/>
                                </a:lnTo>
                                <a:lnTo>
                                  <a:pt x="124" y="1"/>
                                </a:lnTo>
                                <a:lnTo>
                                  <a:pt x="124" y="50"/>
                                </a:lnTo>
                                <a:lnTo>
                                  <a:pt x="126" y="51"/>
                                </a:lnTo>
                                <a:lnTo>
                                  <a:pt x="130" y="51"/>
                                </a:lnTo>
                                <a:lnTo>
                                  <a:pt x="132" y="50"/>
                                </a:lnTo>
                                <a:lnTo>
                                  <a:pt x="132" y="1"/>
                                </a:lnTo>
                                <a:close/>
                                <a:moveTo>
                                  <a:pt x="153" y="605"/>
                                </a:moveTo>
                                <a:lnTo>
                                  <a:pt x="151" y="603"/>
                                </a:lnTo>
                                <a:lnTo>
                                  <a:pt x="149" y="603"/>
                                </a:lnTo>
                                <a:lnTo>
                                  <a:pt x="147" y="603"/>
                                </a:lnTo>
                                <a:lnTo>
                                  <a:pt x="145" y="605"/>
                                </a:lnTo>
                                <a:lnTo>
                                  <a:pt x="145" y="654"/>
                                </a:lnTo>
                                <a:lnTo>
                                  <a:pt x="147" y="655"/>
                                </a:lnTo>
                                <a:lnTo>
                                  <a:pt x="151" y="655"/>
                                </a:lnTo>
                                <a:lnTo>
                                  <a:pt x="153" y="654"/>
                                </a:lnTo>
                                <a:lnTo>
                                  <a:pt x="153" y="605"/>
                                </a:lnTo>
                                <a:close/>
                                <a:moveTo>
                                  <a:pt x="153" y="478"/>
                                </a:moveTo>
                                <a:lnTo>
                                  <a:pt x="151" y="476"/>
                                </a:lnTo>
                                <a:lnTo>
                                  <a:pt x="149" y="476"/>
                                </a:lnTo>
                                <a:lnTo>
                                  <a:pt x="147" y="476"/>
                                </a:lnTo>
                                <a:lnTo>
                                  <a:pt x="145" y="478"/>
                                </a:lnTo>
                                <a:lnTo>
                                  <a:pt x="145" y="526"/>
                                </a:lnTo>
                                <a:lnTo>
                                  <a:pt x="147" y="528"/>
                                </a:lnTo>
                                <a:lnTo>
                                  <a:pt x="151" y="528"/>
                                </a:lnTo>
                                <a:lnTo>
                                  <a:pt x="153" y="526"/>
                                </a:lnTo>
                                <a:lnTo>
                                  <a:pt x="153" y="478"/>
                                </a:lnTo>
                                <a:close/>
                                <a:moveTo>
                                  <a:pt x="153" y="343"/>
                                </a:moveTo>
                                <a:lnTo>
                                  <a:pt x="151" y="341"/>
                                </a:lnTo>
                                <a:lnTo>
                                  <a:pt x="149" y="341"/>
                                </a:lnTo>
                                <a:lnTo>
                                  <a:pt x="147" y="341"/>
                                </a:lnTo>
                                <a:lnTo>
                                  <a:pt x="145" y="343"/>
                                </a:lnTo>
                                <a:lnTo>
                                  <a:pt x="145" y="418"/>
                                </a:lnTo>
                                <a:lnTo>
                                  <a:pt x="147" y="419"/>
                                </a:lnTo>
                                <a:lnTo>
                                  <a:pt x="151" y="419"/>
                                </a:lnTo>
                                <a:lnTo>
                                  <a:pt x="153" y="418"/>
                                </a:lnTo>
                                <a:lnTo>
                                  <a:pt x="153" y="343"/>
                                </a:lnTo>
                                <a:close/>
                                <a:moveTo>
                                  <a:pt x="153" y="236"/>
                                </a:moveTo>
                                <a:lnTo>
                                  <a:pt x="151" y="234"/>
                                </a:lnTo>
                                <a:lnTo>
                                  <a:pt x="149" y="234"/>
                                </a:lnTo>
                                <a:lnTo>
                                  <a:pt x="147" y="234"/>
                                </a:lnTo>
                                <a:lnTo>
                                  <a:pt x="145" y="236"/>
                                </a:lnTo>
                                <a:lnTo>
                                  <a:pt x="145" y="284"/>
                                </a:lnTo>
                                <a:lnTo>
                                  <a:pt x="147" y="285"/>
                                </a:lnTo>
                                <a:lnTo>
                                  <a:pt x="151" y="285"/>
                                </a:lnTo>
                                <a:lnTo>
                                  <a:pt x="153" y="284"/>
                                </a:lnTo>
                                <a:lnTo>
                                  <a:pt x="153" y="236"/>
                                </a:lnTo>
                                <a:close/>
                                <a:moveTo>
                                  <a:pt x="153" y="108"/>
                                </a:moveTo>
                                <a:lnTo>
                                  <a:pt x="151" y="107"/>
                                </a:lnTo>
                                <a:lnTo>
                                  <a:pt x="149" y="107"/>
                                </a:lnTo>
                                <a:lnTo>
                                  <a:pt x="147" y="107"/>
                                </a:lnTo>
                                <a:lnTo>
                                  <a:pt x="145" y="108"/>
                                </a:lnTo>
                                <a:lnTo>
                                  <a:pt x="145" y="157"/>
                                </a:lnTo>
                                <a:lnTo>
                                  <a:pt x="147" y="159"/>
                                </a:lnTo>
                                <a:lnTo>
                                  <a:pt x="151" y="159"/>
                                </a:lnTo>
                                <a:lnTo>
                                  <a:pt x="153" y="157"/>
                                </a:lnTo>
                                <a:lnTo>
                                  <a:pt x="153" y="108"/>
                                </a:lnTo>
                                <a:close/>
                                <a:moveTo>
                                  <a:pt x="153" y="1"/>
                                </a:moveTo>
                                <a:lnTo>
                                  <a:pt x="151" y="0"/>
                                </a:lnTo>
                                <a:lnTo>
                                  <a:pt x="149" y="0"/>
                                </a:lnTo>
                                <a:lnTo>
                                  <a:pt x="147" y="0"/>
                                </a:lnTo>
                                <a:lnTo>
                                  <a:pt x="145" y="1"/>
                                </a:lnTo>
                                <a:lnTo>
                                  <a:pt x="145" y="49"/>
                                </a:lnTo>
                                <a:lnTo>
                                  <a:pt x="147" y="51"/>
                                </a:lnTo>
                                <a:lnTo>
                                  <a:pt x="151" y="51"/>
                                </a:lnTo>
                                <a:lnTo>
                                  <a:pt x="153" y="49"/>
                                </a:lnTo>
                                <a:lnTo>
                                  <a:pt x="153" y="1"/>
                                </a:lnTo>
                                <a:close/>
                                <a:moveTo>
                                  <a:pt x="174" y="602"/>
                                </a:moveTo>
                                <a:lnTo>
                                  <a:pt x="172" y="600"/>
                                </a:lnTo>
                                <a:lnTo>
                                  <a:pt x="170" y="600"/>
                                </a:lnTo>
                                <a:lnTo>
                                  <a:pt x="168" y="600"/>
                                </a:lnTo>
                                <a:lnTo>
                                  <a:pt x="166" y="602"/>
                                </a:lnTo>
                                <a:lnTo>
                                  <a:pt x="166" y="650"/>
                                </a:lnTo>
                                <a:lnTo>
                                  <a:pt x="168" y="652"/>
                                </a:lnTo>
                                <a:lnTo>
                                  <a:pt x="172" y="652"/>
                                </a:lnTo>
                                <a:lnTo>
                                  <a:pt x="174" y="650"/>
                                </a:lnTo>
                                <a:lnTo>
                                  <a:pt x="174" y="602"/>
                                </a:lnTo>
                                <a:close/>
                                <a:moveTo>
                                  <a:pt x="174" y="480"/>
                                </a:moveTo>
                                <a:lnTo>
                                  <a:pt x="172" y="478"/>
                                </a:lnTo>
                                <a:lnTo>
                                  <a:pt x="170" y="478"/>
                                </a:lnTo>
                                <a:lnTo>
                                  <a:pt x="168" y="478"/>
                                </a:lnTo>
                                <a:lnTo>
                                  <a:pt x="166" y="480"/>
                                </a:lnTo>
                                <a:lnTo>
                                  <a:pt x="166" y="528"/>
                                </a:lnTo>
                                <a:lnTo>
                                  <a:pt x="168" y="530"/>
                                </a:lnTo>
                                <a:lnTo>
                                  <a:pt x="172" y="530"/>
                                </a:lnTo>
                                <a:lnTo>
                                  <a:pt x="174" y="528"/>
                                </a:lnTo>
                                <a:lnTo>
                                  <a:pt x="174" y="480"/>
                                </a:lnTo>
                                <a:close/>
                                <a:moveTo>
                                  <a:pt x="174" y="342"/>
                                </a:moveTo>
                                <a:lnTo>
                                  <a:pt x="172" y="340"/>
                                </a:lnTo>
                                <a:lnTo>
                                  <a:pt x="170" y="340"/>
                                </a:lnTo>
                                <a:lnTo>
                                  <a:pt x="168" y="340"/>
                                </a:lnTo>
                                <a:lnTo>
                                  <a:pt x="166" y="342"/>
                                </a:lnTo>
                                <a:lnTo>
                                  <a:pt x="166" y="419"/>
                                </a:lnTo>
                                <a:lnTo>
                                  <a:pt x="168" y="421"/>
                                </a:lnTo>
                                <a:lnTo>
                                  <a:pt x="172" y="421"/>
                                </a:lnTo>
                                <a:lnTo>
                                  <a:pt x="174" y="419"/>
                                </a:lnTo>
                                <a:lnTo>
                                  <a:pt x="174" y="342"/>
                                </a:lnTo>
                                <a:close/>
                                <a:moveTo>
                                  <a:pt x="174" y="233"/>
                                </a:moveTo>
                                <a:lnTo>
                                  <a:pt x="172" y="231"/>
                                </a:lnTo>
                                <a:lnTo>
                                  <a:pt x="170" y="231"/>
                                </a:lnTo>
                                <a:lnTo>
                                  <a:pt x="168" y="231"/>
                                </a:lnTo>
                                <a:lnTo>
                                  <a:pt x="166" y="233"/>
                                </a:lnTo>
                                <a:lnTo>
                                  <a:pt x="166" y="282"/>
                                </a:lnTo>
                                <a:lnTo>
                                  <a:pt x="168" y="284"/>
                                </a:lnTo>
                                <a:lnTo>
                                  <a:pt x="172" y="284"/>
                                </a:lnTo>
                                <a:lnTo>
                                  <a:pt x="174" y="282"/>
                                </a:lnTo>
                                <a:lnTo>
                                  <a:pt x="174" y="233"/>
                                </a:lnTo>
                                <a:close/>
                                <a:moveTo>
                                  <a:pt x="174" y="111"/>
                                </a:moveTo>
                                <a:lnTo>
                                  <a:pt x="172" y="109"/>
                                </a:lnTo>
                                <a:lnTo>
                                  <a:pt x="170" y="109"/>
                                </a:lnTo>
                                <a:lnTo>
                                  <a:pt x="168" y="109"/>
                                </a:lnTo>
                                <a:lnTo>
                                  <a:pt x="166" y="111"/>
                                </a:lnTo>
                                <a:lnTo>
                                  <a:pt x="166" y="159"/>
                                </a:lnTo>
                                <a:lnTo>
                                  <a:pt x="168" y="161"/>
                                </a:lnTo>
                                <a:lnTo>
                                  <a:pt x="172" y="161"/>
                                </a:lnTo>
                                <a:lnTo>
                                  <a:pt x="174" y="159"/>
                                </a:lnTo>
                                <a:lnTo>
                                  <a:pt x="174" y="111"/>
                                </a:lnTo>
                                <a:close/>
                                <a:moveTo>
                                  <a:pt x="174" y="1"/>
                                </a:moveTo>
                                <a:lnTo>
                                  <a:pt x="172" y="0"/>
                                </a:lnTo>
                                <a:lnTo>
                                  <a:pt x="170" y="0"/>
                                </a:lnTo>
                                <a:lnTo>
                                  <a:pt x="168" y="0"/>
                                </a:lnTo>
                                <a:lnTo>
                                  <a:pt x="166" y="1"/>
                                </a:lnTo>
                                <a:lnTo>
                                  <a:pt x="166" y="51"/>
                                </a:lnTo>
                                <a:lnTo>
                                  <a:pt x="168" y="52"/>
                                </a:lnTo>
                                <a:lnTo>
                                  <a:pt x="172" y="52"/>
                                </a:lnTo>
                                <a:lnTo>
                                  <a:pt x="174" y="51"/>
                                </a:lnTo>
                                <a:lnTo>
                                  <a:pt x="174" y="1"/>
                                </a:lnTo>
                                <a:close/>
                                <a:moveTo>
                                  <a:pt x="194" y="595"/>
                                </a:moveTo>
                                <a:lnTo>
                                  <a:pt x="193" y="593"/>
                                </a:lnTo>
                                <a:lnTo>
                                  <a:pt x="191" y="593"/>
                                </a:lnTo>
                                <a:lnTo>
                                  <a:pt x="188" y="593"/>
                                </a:lnTo>
                                <a:lnTo>
                                  <a:pt x="187" y="595"/>
                                </a:lnTo>
                                <a:lnTo>
                                  <a:pt x="187" y="645"/>
                                </a:lnTo>
                                <a:lnTo>
                                  <a:pt x="188" y="647"/>
                                </a:lnTo>
                                <a:lnTo>
                                  <a:pt x="193" y="647"/>
                                </a:lnTo>
                                <a:lnTo>
                                  <a:pt x="194" y="645"/>
                                </a:lnTo>
                                <a:lnTo>
                                  <a:pt x="194" y="595"/>
                                </a:lnTo>
                                <a:close/>
                                <a:moveTo>
                                  <a:pt x="194" y="485"/>
                                </a:moveTo>
                                <a:lnTo>
                                  <a:pt x="193" y="483"/>
                                </a:lnTo>
                                <a:lnTo>
                                  <a:pt x="191" y="483"/>
                                </a:lnTo>
                                <a:lnTo>
                                  <a:pt x="188" y="483"/>
                                </a:lnTo>
                                <a:lnTo>
                                  <a:pt x="187" y="485"/>
                                </a:lnTo>
                                <a:lnTo>
                                  <a:pt x="187" y="536"/>
                                </a:lnTo>
                                <a:lnTo>
                                  <a:pt x="188" y="538"/>
                                </a:lnTo>
                                <a:lnTo>
                                  <a:pt x="193" y="538"/>
                                </a:lnTo>
                                <a:lnTo>
                                  <a:pt x="194" y="536"/>
                                </a:lnTo>
                                <a:lnTo>
                                  <a:pt x="194" y="485"/>
                                </a:lnTo>
                                <a:close/>
                                <a:moveTo>
                                  <a:pt x="194" y="339"/>
                                </a:moveTo>
                                <a:lnTo>
                                  <a:pt x="193" y="337"/>
                                </a:lnTo>
                                <a:lnTo>
                                  <a:pt x="191" y="337"/>
                                </a:lnTo>
                                <a:lnTo>
                                  <a:pt x="188" y="337"/>
                                </a:lnTo>
                                <a:lnTo>
                                  <a:pt x="187" y="339"/>
                                </a:lnTo>
                                <a:lnTo>
                                  <a:pt x="187" y="422"/>
                                </a:lnTo>
                                <a:lnTo>
                                  <a:pt x="188" y="423"/>
                                </a:lnTo>
                                <a:lnTo>
                                  <a:pt x="193" y="423"/>
                                </a:lnTo>
                                <a:lnTo>
                                  <a:pt x="194" y="422"/>
                                </a:lnTo>
                                <a:lnTo>
                                  <a:pt x="194" y="339"/>
                                </a:lnTo>
                                <a:close/>
                                <a:moveTo>
                                  <a:pt x="194" y="225"/>
                                </a:moveTo>
                                <a:lnTo>
                                  <a:pt x="193" y="223"/>
                                </a:lnTo>
                                <a:lnTo>
                                  <a:pt x="191" y="223"/>
                                </a:lnTo>
                                <a:lnTo>
                                  <a:pt x="188" y="223"/>
                                </a:lnTo>
                                <a:lnTo>
                                  <a:pt x="187" y="225"/>
                                </a:lnTo>
                                <a:lnTo>
                                  <a:pt x="187" y="275"/>
                                </a:lnTo>
                                <a:lnTo>
                                  <a:pt x="188" y="277"/>
                                </a:lnTo>
                                <a:lnTo>
                                  <a:pt x="193" y="277"/>
                                </a:lnTo>
                                <a:lnTo>
                                  <a:pt x="194" y="275"/>
                                </a:lnTo>
                                <a:lnTo>
                                  <a:pt x="194" y="225"/>
                                </a:lnTo>
                                <a:close/>
                                <a:moveTo>
                                  <a:pt x="194" y="116"/>
                                </a:moveTo>
                                <a:lnTo>
                                  <a:pt x="193" y="114"/>
                                </a:lnTo>
                                <a:lnTo>
                                  <a:pt x="191" y="114"/>
                                </a:lnTo>
                                <a:lnTo>
                                  <a:pt x="188" y="114"/>
                                </a:lnTo>
                                <a:lnTo>
                                  <a:pt x="187" y="116"/>
                                </a:lnTo>
                                <a:lnTo>
                                  <a:pt x="187" y="168"/>
                                </a:lnTo>
                                <a:lnTo>
                                  <a:pt x="188" y="170"/>
                                </a:lnTo>
                                <a:lnTo>
                                  <a:pt x="193" y="170"/>
                                </a:lnTo>
                                <a:lnTo>
                                  <a:pt x="194" y="168"/>
                                </a:lnTo>
                                <a:lnTo>
                                  <a:pt x="194" y="116"/>
                                </a:lnTo>
                                <a:close/>
                                <a:moveTo>
                                  <a:pt x="194" y="4"/>
                                </a:moveTo>
                                <a:lnTo>
                                  <a:pt x="193" y="2"/>
                                </a:lnTo>
                                <a:lnTo>
                                  <a:pt x="191" y="2"/>
                                </a:lnTo>
                                <a:lnTo>
                                  <a:pt x="188" y="2"/>
                                </a:lnTo>
                                <a:lnTo>
                                  <a:pt x="187" y="4"/>
                                </a:lnTo>
                                <a:lnTo>
                                  <a:pt x="187" y="53"/>
                                </a:lnTo>
                                <a:lnTo>
                                  <a:pt x="188" y="55"/>
                                </a:lnTo>
                                <a:lnTo>
                                  <a:pt x="193" y="55"/>
                                </a:lnTo>
                                <a:lnTo>
                                  <a:pt x="194" y="53"/>
                                </a:lnTo>
                                <a:lnTo>
                                  <a:pt x="194" y="4"/>
                                </a:lnTo>
                                <a:close/>
                                <a:moveTo>
                                  <a:pt x="215" y="577"/>
                                </a:moveTo>
                                <a:lnTo>
                                  <a:pt x="213" y="576"/>
                                </a:lnTo>
                                <a:lnTo>
                                  <a:pt x="211" y="576"/>
                                </a:lnTo>
                                <a:lnTo>
                                  <a:pt x="209" y="576"/>
                                </a:lnTo>
                                <a:lnTo>
                                  <a:pt x="207" y="577"/>
                                </a:lnTo>
                                <a:lnTo>
                                  <a:pt x="207" y="636"/>
                                </a:lnTo>
                                <a:lnTo>
                                  <a:pt x="209" y="638"/>
                                </a:lnTo>
                                <a:lnTo>
                                  <a:pt x="213" y="638"/>
                                </a:lnTo>
                                <a:lnTo>
                                  <a:pt x="215" y="636"/>
                                </a:lnTo>
                                <a:lnTo>
                                  <a:pt x="215" y="577"/>
                                </a:lnTo>
                                <a:close/>
                                <a:moveTo>
                                  <a:pt x="215" y="494"/>
                                </a:moveTo>
                                <a:lnTo>
                                  <a:pt x="213" y="493"/>
                                </a:lnTo>
                                <a:lnTo>
                                  <a:pt x="211" y="493"/>
                                </a:lnTo>
                                <a:lnTo>
                                  <a:pt x="209" y="493"/>
                                </a:lnTo>
                                <a:lnTo>
                                  <a:pt x="207" y="494"/>
                                </a:lnTo>
                                <a:lnTo>
                                  <a:pt x="207" y="552"/>
                                </a:lnTo>
                                <a:lnTo>
                                  <a:pt x="209" y="553"/>
                                </a:lnTo>
                                <a:lnTo>
                                  <a:pt x="213" y="553"/>
                                </a:lnTo>
                                <a:lnTo>
                                  <a:pt x="215" y="552"/>
                                </a:lnTo>
                                <a:lnTo>
                                  <a:pt x="215" y="494"/>
                                </a:lnTo>
                                <a:close/>
                                <a:moveTo>
                                  <a:pt x="215" y="333"/>
                                </a:moveTo>
                                <a:lnTo>
                                  <a:pt x="213" y="332"/>
                                </a:lnTo>
                                <a:lnTo>
                                  <a:pt x="211" y="332"/>
                                </a:lnTo>
                                <a:lnTo>
                                  <a:pt x="209" y="332"/>
                                </a:lnTo>
                                <a:lnTo>
                                  <a:pt x="207" y="333"/>
                                </a:lnTo>
                                <a:lnTo>
                                  <a:pt x="207" y="429"/>
                                </a:lnTo>
                                <a:lnTo>
                                  <a:pt x="209" y="431"/>
                                </a:lnTo>
                                <a:lnTo>
                                  <a:pt x="213" y="431"/>
                                </a:lnTo>
                                <a:lnTo>
                                  <a:pt x="215" y="429"/>
                                </a:lnTo>
                                <a:lnTo>
                                  <a:pt x="215" y="333"/>
                                </a:lnTo>
                                <a:close/>
                                <a:moveTo>
                                  <a:pt x="215" y="210"/>
                                </a:moveTo>
                                <a:lnTo>
                                  <a:pt x="213" y="208"/>
                                </a:lnTo>
                                <a:lnTo>
                                  <a:pt x="211" y="208"/>
                                </a:lnTo>
                                <a:lnTo>
                                  <a:pt x="209" y="208"/>
                                </a:lnTo>
                                <a:lnTo>
                                  <a:pt x="207" y="210"/>
                                </a:lnTo>
                                <a:lnTo>
                                  <a:pt x="207" y="267"/>
                                </a:lnTo>
                                <a:lnTo>
                                  <a:pt x="209" y="269"/>
                                </a:lnTo>
                                <a:lnTo>
                                  <a:pt x="213" y="269"/>
                                </a:lnTo>
                                <a:lnTo>
                                  <a:pt x="215" y="267"/>
                                </a:lnTo>
                                <a:lnTo>
                                  <a:pt x="215" y="210"/>
                                </a:lnTo>
                                <a:close/>
                                <a:moveTo>
                                  <a:pt x="215" y="125"/>
                                </a:moveTo>
                                <a:lnTo>
                                  <a:pt x="213" y="123"/>
                                </a:lnTo>
                                <a:lnTo>
                                  <a:pt x="211" y="123"/>
                                </a:lnTo>
                                <a:lnTo>
                                  <a:pt x="209" y="123"/>
                                </a:lnTo>
                                <a:lnTo>
                                  <a:pt x="207" y="125"/>
                                </a:lnTo>
                                <a:lnTo>
                                  <a:pt x="207" y="183"/>
                                </a:lnTo>
                                <a:lnTo>
                                  <a:pt x="209" y="185"/>
                                </a:lnTo>
                                <a:lnTo>
                                  <a:pt x="213" y="185"/>
                                </a:lnTo>
                                <a:lnTo>
                                  <a:pt x="215" y="183"/>
                                </a:lnTo>
                                <a:lnTo>
                                  <a:pt x="215" y="125"/>
                                </a:lnTo>
                                <a:close/>
                                <a:moveTo>
                                  <a:pt x="215" y="9"/>
                                </a:moveTo>
                                <a:lnTo>
                                  <a:pt x="213" y="7"/>
                                </a:lnTo>
                                <a:lnTo>
                                  <a:pt x="211" y="7"/>
                                </a:lnTo>
                                <a:lnTo>
                                  <a:pt x="209" y="7"/>
                                </a:lnTo>
                                <a:lnTo>
                                  <a:pt x="207" y="9"/>
                                </a:lnTo>
                                <a:lnTo>
                                  <a:pt x="207" y="60"/>
                                </a:lnTo>
                                <a:lnTo>
                                  <a:pt x="209" y="62"/>
                                </a:lnTo>
                                <a:lnTo>
                                  <a:pt x="213" y="62"/>
                                </a:lnTo>
                                <a:lnTo>
                                  <a:pt x="215" y="60"/>
                                </a:lnTo>
                                <a:lnTo>
                                  <a:pt x="215" y="9"/>
                                </a:lnTo>
                                <a:close/>
                                <a:moveTo>
                                  <a:pt x="236" y="694"/>
                                </a:moveTo>
                                <a:lnTo>
                                  <a:pt x="234" y="692"/>
                                </a:lnTo>
                                <a:lnTo>
                                  <a:pt x="232" y="692"/>
                                </a:lnTo>
                                <a:lnTo>
                                  <a:pt x="230" y="692"/>
                                </a:lnTo>
                                <a:lnTo>
                                  <a:pt x="228" y="694"/>
                                </a:lnTo>
                                <a:lnTo>
                                  <a:pt x="228" y="746"/>
                                </a:lnTo>
                                <a:lnTo>
                                  <a:pt x="230" y="748"/>
                                </a:lnTo>
                                <a:lnTo>
                                  <a:pt x="234" y="748"/>
                                </a:lnTo>
                                <a:lnTo>
                                  <a:pt x="236" y="746"/>
                                </a:lnTo>
                                <a:lnTo>
                                  <a:pt x="236" y="694"/>
                                </a:lnTo>
                                <a:close/>
                                <a:moveTo>
                                  <a:pt x="236" y="508"/>
                                </a:moveTo>
                                <a:lnTo>
                                  <a:pt x="234" y="506"/>
                                </a:lnTo>
                                <a:lnTo>
                                  <a:pt x="232" y="506"/>
                                </a:lnTo>
                                <a:lnTo>
                                  <a:pt x="230" y="506"/>
                                </a:lnTo>
                                <a:lnTo>
                                  <a:pt x="228" y="508"/>
                                </a:lnTo>
                                <a:lnTo>
                                  <a:pt x="228" y="622"/>
                                </a:lnTo>
                                <a:lnTo>
                                  <a:pt x="230" y="623"/>
                                </a:lnTo>
                                <a:lnTo>
                                  <a:pt x="234" y="623"/>
                                </a:lnTo>
                                <a:lnTo>
                                  <a:pt x="236" y="622"/>
                                </a:lnTo>
                                <a:lnTo>
                                  <a:pt x="236" y="508"/>
                                </a:lnTo>
                                <a:close/>
                                <a:moveTo>
                                  <a:pt x="236" y="387"/>
                                </a:moveTo>
                                <a:lnTo>
                                  <a:pt x="234" y="386"/>
                                </a:lnTo>
                                <a:lnTo>
                                  <a:pt x="232" y="386"/>
                                </a:lnTo>
                                <a:lnTo>
                                  <a:pt x="230" y="386"/>
                                </a:lnTo>
                                <a:lnTo>
                                  <a:pt x="228" y="387"/>
                                </a:lnTo>
                                <a:lnTo>
                                  <a:pt x="228" y="437"/>
                                </a:lnTo>
                                <a:lnTo>
                                  <a:pt x="230" y="439"/>
                                </a:lnTo>
                                <a:lnTo>
                                  <a:pt x="234" y="439"/>
                                </a:lnTo>
                                <a:lnTo>
                                  <a:pt x="236" y="437"/>
                                </a:lnTo>
                                <a:lnTo>
                                  <a:pt x="236" y="387"/>
                                </a:lnTo>
                                <a:close/>
                                <a:moveTo>
                                  <a:pt x="236" y="324"/>
                                </a:moveTo>
                                <a:lnTo>
                                  <a:pt x="234" y="322"/>
                                </a:lnTo>
                                <a:lnTo>
                                  <a:pt x="232" y="322"/>
                                </a:lnTo>
                                <a:lnTo>
                                  <a:pt x="230" y="322"/>
                                </a:lnTo>
                                <a:lnTo>
                                  <a:pt x="228" y="324"/>
                                </a:lnTo>
                                <a:lnTo>
                                  <a:pt x="228" y="373"/>
                                </a:lnTo>
                                <a:lnTo>
                                  <a:pt x="230" y="375"/>
                                </a:lnTo>
                                <a:lnTo>
                                  <a:pt x="234" y="375"/>
                                </a:lnTo>
                                <a:lnTo>
                                  <a:pt x="236" y="373"/>
                                </a:lnTo>
                                <a:lnTo>
                                  <a:pt x="236" y="324"/>
                                </a:lnTo>
                                <a:close/>
                                <a:moveTo>
                                  <a:pt x="236" y="140"/>
                                </a:moveTo>
                                <a:lnTo>
                                  <a:pt x="234" y="138"/>
                                </a:lnTo>
                                <a:lnTo>
                                  <a:pt x="232" y="138"/>
                                </a:lnTo>
                                <a:lnTo>
                                  <a:pt x="230" y="138"/>
                                </a:lnTo>
                                <a:lnTo>
                                  <a:pt x="228" y="140"/>
                                </a:lnTo>
                                <a:lnTo>
                                  <a:pt x="228" y="255"/>
                                </a:lnTo>
                                <a:lnTo>
                                  <a:pt x="230" y="257"/>
                                </a:lnTo>
                                <a:lnTo>
                                  <a:pt x="234" y="257"/>
                                </a:lnTo>
                                <a:lnTo>
                                  <a:pt x="236" y="255"/>
                                </a:lnTo>
                                <a:lnTo>
                                  <a:pt x="236" y="140"/>
                                </a:lnTo>
                                <a:close/>
                                <a:moveTo>
                                  <a:pt x="236" y="16"/>
                                </a:moveTo>
                                <a:lnTo>
                                  <a:pt x="234" y="14"/>
                                </a:lnTo>
                                <a:lnTo>
                                  <a:pt x="232" y="14"/>
                                </a:lnTo>
                                <a:lnTo>
                                  <a:pt x="230" y="14"/>
                                </a:lnTo>
                                <a:lnTo>
                                  <a:pt x="228" y="16"/>
                                </a:lnTo>
                                <a:lnTo>
                                  <a:pt x="228" y="69"/>
                                </a:lnTo>
                                <a:lnTo>
                                  <a:pt x="230" y="70"/>
                                </a:lnTo>
                                <a:lnTo>
                                  <a:pt x="234" y="70"/>
                                </a:lnTo>
                                <a:lnTo>
                                  <a:pt x="236" y="69"/>
                                </a:lnTo>
                                <a:lnTo>
                                  <a:pt x="236" y="16"/>
                                </a:lnTo>
                                <a:close/>
                                <a:moveTo>
                                  <a:pt x="257" y="683"/>
                                </a:moveTo>
                                <a:lnTo>
                                  <a:pt x="255" y="681"/>
                                </a:lnTo>
                                <a:lnTo>
                                  <a:pt x="253" y="681"/>
                                </a:lnTo>
                                <a:lnTo>
                                  <a:pt x="251" y="681"/>
                                </a:lnTo>
                                <a:lnTo>
                                  <a:pt x="249" y="683"/>
                                </a:lnTo>
                                <a:lnTo>
                                  <a:pt x="249" y="736"/>
                                </a:lnTo>
                                <a:lnTo>
                                  <a:pt x="251" y="738"/>
                                </a:lnTo>
                                <a:lnTo>
                                  <a:pt x="255" y="738"/>
                                </a:lnTo>
                                <a:lnTo>
                                  <a:pt x="257" y="736"/>
                                </a:lnTo>
                                <a:lnTo>
                                  <a:pt x="257" y="683"/>
                                </a:lnTo>
                                <a:close/>
                                <a:moveTo>
                                  <a:pt x="257" y="528"/>
                                </a:moveTo>
                                <a:lnTo>
                                  <a:pt x="255" y="526"/>
                                </a:lnTo>
                                <a:lnTo>
                                  <a:pt x="253" y="526"/>
                                </a:lnTo>
                                <a:lnTo>
                                  <a:pt x="251" y="526"/>
                                </a:lnTo>
                                <a:lnTo>
                                  <a:pt x="249" y="528"/>
                                </a:lnTo>
                                <a:lnTo>
                                  <a:pt x="249" y="606"/>
                                </a:lnTo>
                                <a:lnTo>
                                  <a:pt x="251" y="608"/>
                                </a:lnTo>
                                <a:lnTo>
                                  <a:pt x="255" y="608"/>
                                </a:lnTo>
                                <a:lnTo>
                                  <a:pt x="257" y="606"/>
                                </a:lnTo>
                                <a:lnTo>
                                  <a:pt x="257" y="528"/>
                                </a:lnTo>
                                <a:close/>
                                <a:moveTo>
                                  <a:pt x="257" y="394"/>
                                </a:moveTo>
                                <a:lnTo>
                                  <a:pt x="255" y="393"/>
                                </a:lnTo>
                                <a:lnTo>
                                  <a:pt x="253" y="393"/>
                                </a:lnTo>
                                <a:lnTo>
                                  <a:pt x="251" y="393"/>
                                </a:lnTo>
                                <a:lnTo>
                                  <a:pt x="249" y="394"/>
                                </a:lnTo>
                                <a:lnTo>
                                  <a:pt x="249" y="448"/>
                                </a:lnTo>
                                <a:lnTo>
                                  <a:pt x="251" y="450"/>
                                </a:lnTo>
                                <a:lnTo>
                                  <a:pt x="255" y="450"/>
                                </a:lnTo>
                                <a:lnTo>
                                  <a:pt x="257" y="448"/>
                                </a:lnTo>
                                <a:lnTo>
                                  <a:pt x="257" y="394"/>
                                </a:lnTo>
                                <a:close/>
                              </a:path>
                            </a:pathLst>
                          </a:custGeom>
                          <a:solidFill>
                            <a:srgbClr val="A9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docshape1852"/>
                        <wps:cNvSpPr>
                          <a:spLocks/>
                        </wps:cNvSpPr>
                        <wps:spPr bwMode="auto">
                          <a:xfrm>
                            <a:off x="43" y="15357"/>
                            <a:ext cx="258" cy="761"/>
                          </a:xfrm>
                          <a:custGeom>
                            <a:avLst/>
                            <a:gdLst>
                              <a:gd name="T0" fmla="+- 0 70 43"/>
                              <a:gd name="T1" fmla="*/ T0 w 258"/>
                              <a:gd name="T2" fmla="+- 0 16068 15358"/>
                              <a:gd name="T3" fmla="*/ 16068 h 761"/>
                              <a:gd name="T4" fmla="+- 0 66 43"/>
                              <a:gd name="T5" fmla="*/ T4 w 258"/>
                              <a:gd name="T6" fmla="+- 0 15835 15358"/>
                              <a:gd name="T7" fmla="*/ 15835 h 761"/>
                              <a:gd name="T8" fmla="+- 0 64 43"/>
                              <a:gd name="T9" fmla="*/ T8 w 258"/>
                              <a:gd name="T10" fmla="+- 0 15777 15358"/>
                              <a:gd name="T11" fmla="*/ 15777 h 761"/>
                              <a:gd name="T12" fmla="+- 0 70 43"/>
                              <a:gd name="T13" fmla="*/ T12 w 258"/>
                              <a:gd name="T14" fmla="+- 0 15642 15358"/>
                              <a:gd name="T15" fmla="*/ 15642 h 761"/>
                              <a:gd name="T16" fmla="+- 0 72 43"/>
                              <a:gd name="T17" fmla="*/ T16 w 258"/>
                              <a:gd name="T18" fmla="+- 0 15468 15358"/>
                              <a:gd name="T19" fmla="*/ 15468 h 761"/>
                              <a:gd name="T20" fmla="+- 0 91 43"/>
                              <a:gd name="T21" fmla="*/ T20 w 258"/>
                              <a:gd name="T22" fmla="+- 0 16068 15358"/>
                              <a:gd name="T23" fmla="*/ 16068 h 761"/>
                              <a:gd name="T24" fmla="+- 0 87 43"/>
                              <a:gd name="T25" fmla="*/ T24 w 258"/>
                              <a:gd name="T26" fmla="+- 0 15962 15358"/>
                              <a:gd name="T27" fmla="*/ 15962 h 761"/>
                              <a:gd name="T28" fmla="+- 0 85 43"/>
                              <a:gd name="T29" fmla="*/ T28 w 258"/>
                              <a:gd name="T30" fmla="+- 0 15884 15358"/>
                              <a:gd name="T31" fmla="*/ 15884 h 761"/>
                              <a:gd name="T32" fmla="+- 0 91 43"/>
                              <a:gd name="T33" fmla="*/ T32 w 258"/>
                              <a:gd name="T34" fmla="+- 0 15778 15358"/>
                              <a:gd name="T35" fmla="*/ 15778 h 761"/>
                              <a:gd name="T36" fmla="+- 0 93 43"/>
                              <a:gd name="T37" fmla="*/ T36 w 258"/>
                              <a:gd name="T38" fmla="+- 0 15594 15358"/>
                              <a:gd name="T39" fmla="*/ 15594 h 761"/>
                              <a:gd name="T40" fmla="+- 0 91 43"/>
                              <a:gd name="T41" fmla="*/ T40 w 258"/>
                              <a:gd name="T42" fmla="+- 0 15360 15358"/>
                              <a:gd name="T43" fmla="*/ 15360 h 761"/>
                              <a:gd name="T44" fmla="+- 0 107 43"/>
                              <a:gd name="T45" fmla="*/ T44 w 258"/>
                              <a:gd name="T46" fmla="+- 0 16067 15358"/>
                              <a:gd name="T47" fmla="*/ 16067 h 761"/>
                              <a:gd name="T48" fmla="+- 0 106 43"/>
                              <a:gd name="T49" fmla="*/ T48 w 258"/>
                              <a:gd name="T50" fmla="+- 0 16009 15358"/>
                              <a:gd name="T51" fmla="*/ 16009 h 761"/>
                              <a:gd name="T52" fmla="+- 0 112 43"/>
                              <a:gd name="T53" fmla="*/ T52 w 258"/>
                              <a:gd name="T54" fmla="+- 0 15888 15358"/>
                              <a:gd name="T55" fmla="*/ 15888 h 761"/>
                              <a:gd name="T56" fmla="+- 0 113 43"/>
                              <a:gd name="T57" fmla="*/ T56 w 258"/>
                              <a:gd name="T58" fmla="+- 0 15700 15358"/>
                              <a:gd name="T59" fmla="*/ 15700 h 761"/>
                              <a:gd name="T60" fmla="+- 0 112 43"/>
                              <a:gd name="T61" fmla="*/ T60 w 258"/>
                              <a:gd name="T62" fmla="+- 0 15467 15358"/>
                              <a:gd name="T63" fmla="*/ 15467 h 761"/>
                              <a:gd name="T64" fmla="+- 0 107 43"/>
                              <a:gd name="T65" fmla="*/ T64 w 258"/>
                              <a:gd name="T66" fmla="+- 0 15358 15358"/>
                              <a:gd name="T67" fmla="*/ 15358 h 761"/>
                              <a:gd name="T68" fmla="+- 0 126 43"/>
                              <a:gd name="T69" fmla="*/ T68 w 258"/>
                              <a:gd name="T70" fmla="+- 0 16115 15358"/>
                              <a:gd name="T71" fmla="*/ 16115 h 761"/>
                              <a:gd name="T72" fmla="+- 0 132 43"/>
                              <a:gd name="T73" fmla="*/ T72 w 258"/>
                              <a:gd name="T74" fmla="+- 0 16004 15358"/>
                              <a:gd name="T75" fmla="*/ 16004 h 761"/>
                              <a:gd name="T76" fmla="+- 0 134 43"/>
                              <a:gd name="T77" fmla="*/ T76 w 258"/>
                              <a:gd name="T78" fmla="+- 0 15843 15358"/>
                              <a:gd name="T79" fmla="*/ 15843 h 761"/>
                              <a:gd name="T80" fmla="+- 0 132 43"/>
                              <a:gd name="T81" fmla="*/ T80 w 258"/>
                              <a:gd name="T82" fmla="+- 0 15580 15358"/>
                              <a:gd name="T83" fmla="*/ 15580 h 761"/>
                              <a:gd name="T84" fmla="+- 0 128 43"/>
                              <a:gd name="T85" fmla="*/ T84 w 258"/>
                              <a:gd name="T86" fmla="+- 0 15471 15358"/>
                              <a:gd name="T87" fmla="*/ 15471 h 761"/>
                              <a:gd name="T88" fmla="+- 0 126 43"/>
                              <a:gd name="T89" fmla="*/ T88 w 258"/>
                              <a:gd name="T90" fmla="+- 0 15411 15358"/>
                              <a:gd name="T91" fmla="*/ 15411 h 761"/>
                              <a:gd name="T92" fmla="+- 0 153 43"/>
                              <a:gd name="T93" fmla="*/ T92 w 258"/>
                              <a:gd name="T94" fmla="+- 0 16112 15358"/>
                              <a:gd name="T95" fmla="*/ 16112 h 761"/>
                              <a:gd name="T96" fmla="+- 0 155 43"/>
                              <a:gd name="T97" fmla="*/ T96 w 258"/>
                              <a:gd name="T98" fmla="+- 0 15935 15358"/>
                              <a:gd name="T99" fmla="*/ 15935 h 761"/>
                              <a:gd name="T100" fmla="+- 0 153 43"/>
                              <a:gd name="T101" fmla="*/ T100 w 258"/>
                              <a:gd name="T102" fmla="+- 0 15689 15358"/>
                              <a:gd name="T103" fmla="*/ 15689 h 761"/>
                              <a:gd name="T104" fmla="+- 0 149 43"/>
                              <a:gd name="T105" fmla="*/ T104 w 258"/>
                              <a:gd name="T106" fmla="+- 0 15565 15358"/>
                              <a:gd name="T107" fmla="*/ 15565 h 761"/>
                              <a:gd name="T108" fmla="+- 0 147 43"/>
                              <a:gd name="T109" fmla="*/ T108 w 258"/>
                              <a:gd name="T110" fmla="+- 0 15542 15358"/>
                              <a:gd name="T111" fmla="*/ 15542 h 761"/>
                              <a:gd name="T112" fmla="+- 0 153 43"/>
                              <a:gd name="T113" fmla="*/ T112 w 258"/>
                              <a:gd name="T114" fmla="+- 0 15418 15358"/>
                              <a:gd name="T115" fmla="*/ 15418 h 761"/>
                              <a:gd name="T116" fmla="+- 0 176 43"/>
                              <a:gd name="T117" fmla="*/ T116 w 258"/>
                              <a:gd name="T118" fmla="+- 0 16052 15358"/>
                              <a:gd name="T119" fmla="*/ 16052 h 761"/>
                              <a:gd name="T120" fmla="+- 0 174 43"/>
                              <a:gd name="T121" fmla="*/ T120 w 258"/>
                              <a:gd name="T122" fmla="+- 0 15744 15358"/>
                              <a:gd name="T123" fmla="*/ 15744 h 761"/>
                              <a:gd name="T124" fmla="+- 0 170 43"/>
                              <a:gd name="T125" fmla="*/ T124 w 258"/>
                              <a:gd name="T126" fmla="+- 0 15679 15358"/>
                              <a:gd name="T127" fmla="*/ 15679 h 761"/>
                              <a:gd name="T128" fmla="+- 0 168 43"/>
                              <a:gd name="T129" fmla="*/ T128 w 258"/>
                              <a:gd name="T130" fmla="+- 0 15610 15358"/>
                              <a:gd name="T131" fmla="*/ 15610 h 761"/>
                              <a:gd name="T132" fmla="+- 0 174 43"/>
                              <a:gd name="T133" fmla="*/ T132 w 258"/>
                              <a:gd name="T134" fmla="+- 0 15427 15358"/>
                              <a:gd name="T135" fmla="*/ 15427 h 761"/>
                              <a:gd name="T136" fmla="+- 0 197 43"/>
                              <a:gd name="T137" fmla="*/ T136 w 258"/>
                              <a:gd name="T138" fmla="+- 0 16040 15358"/>
                              <a:gd name="T139" fmla="*/ 16040 h 761"/>
                              <a:gd name="T140" fmla="+- 0 195 43"/>
                              <a:gd name="T141" fmla="*/ T140 w 258"/>
                              <a:gd name="T142" fmla="+- 0 15752 15358"/>
                              <a:gd name="T143" fmla="*/ 15752 h 761"/>
                              <a:gd name="T144" fmla="+- 0 190 43"/>
                              <a:gd name="T145" fmla="*/ T144 w 258"/>
                              <a:gd name="T146" fmla="+- 0 15669 15358"/>
                              <a:gd name="T147" fmla="*/ 15669 h 761"/>
                              <a:gd name="T148" fmla="+- 0 189 43"/>
                              <a:gd name="T149" fmla="*/ T148 w 258"/>
                              <a:gd name="T150" fmla="+- 0 15593 15358"/>
                              <a:gd name="T151" fmla="*/ 15593 h 761"/>
                              <a:gd name="T152" fmla="+- 0 195 43"/>
                              <a:gd name="T153" fmla="*/ T152 w 258"/>
                              <a:gd name="T154" fmla="+- 0 15440 15358"/>
                              <a:gd name="T155" fmla="*/ 15440 h 761"/>
                              <a:gd name="T156" fmla="+- 0 217 43"/>
                              <a:gd name="T157" fmla="*/ T156 w 258"/>
                              <a:gd name="T158" fmla="+- 0 16024 15358"/>
                              <a:gd name="T159" fmla="*/ 16024 h 761"/>
                              <a:gd name="T160" fmla="+- 0 216 43"/>
                              <a:gd name="T161" fmla="*/ T160 w 258"/>
                              <a:gd name="T162" fmla="+- 0 15763 15358"/>
                              <a:gd name="T163" fmla="*/ 15763 h 761"/>
                              <a:gd name="T164" fmla="+- 0 211 43"/>
                              <a:gd name="T165" fmla="*/ T164 w 258"/>
                              <a:gd name="T166" fmla="+- 0 15653 15358"/>
                              <a:gd name="T167" fmla="*/ 15653 h 761"/>
                              <a:gd name="T168" fmla="+- 0 209 43"/>
                              <a:gd name="T169" fmla="*/ T168 w 258"/>
                              <a:gd name="T170" fmla="+- 0 15618 15358"/>
                              <a:gd name="T171" fmla="*/ 15618 h 761"/>
                              <a:gd name="T172" fmla="+- 0 216 43"/>
                              <a:gd name="T173" fmla="*/ T172 w 258"/>
                              <a:gd name="T174" fmla="+- 0 15456 15358"/>
                              <a:gd name="T175" fmla="*/ 15456 h 761"/>
                              <a:gd name="T176" fmla="+- 0 238 43"/>
                              <a:gd name="T177" fmla="*/ T176 w 258"/>
                              <a:gd name="T178" fmla="+- 0 15937 15358"/>
                              <a:gd name="T179" fmla="*/ 15937 h 761"/>
                              <a:gd name="T180" fmla="+- 0 236 43"/>
                              <a:gd name="T181" fmla="*/ T180 w 258"/>
                              <a:gd name="T182" fmla="+- 0 15568 15358"/>
                              <a:gd name="T183" fmla="*/ 15568 h 761"/>
                              <a:gd name="T184" fmla="+- 0 232 43"/>
                              <a:gd name="T185" fmla="*/ T184 w 258"/>
                              <a:gd name="T186" fmla="+- 0 15409 15358"/>
                              <a:gd name="T187" fmla="*/ 15409 h 761"/>
                              <a:gd name="T188" fmla="+- 0 251 43"/>
                              <a:gd name="T189" fmla="*/ T188 w 258"/>
                              <a:gd name="T190" fmla="+- 0 16049 15358"/>
                              <a:gd name="T191" fmla="*/ 16049 h 761"/>
                              <a:gd name="T192" fmla="+- 0 257 43"/>
                              <a:gd name="T193" fmla="*/ T192 w 258"/>
                              <a:gd name="T194" fmla="+- 0 15866 15358"/>
                              <a:gd name="T195" fmla="*/ 15866 h 761"/>
                              <a:gd name="T196" fmla="+- 0 259 43"/>
                              <a:gd name="T197" fmla="*/ T196 w 258"/>
                              <a:gd name="T198" fmla="+- 0 15595 15358"/>
                              <a:gd name="T199" fmla="*/ 15595 h 761"/>
                              <a:gd name="T200" fmla="+- 0 278 43"/>
                              <a:gd name="T201" fmla="*/ T200 w 258"/>
                              <a:gd name="T202" fmla="+- 0 15989 15358"/>
                              <a:gd name="T203" fmla="*/ 15989 h 761"/>
                              <a:gd name="T204" fmla="+- 0 274 43"/>
                              <a:gd name="T205" fmla="*/ T204 w 258"/>
                              <a:gd name="T206" fmla="+- 0 15817 15358"/>
                              <a:gd name="T207" fmla="*/ 15817 h 761"/>
                              <a:gd name="T208" fmla="+- 0 272 43"/>
                              <a:gd name="T209" fmla="*/ T208 w 258"/>
                              <a:gd name="T210" fmla="+- 0 15687 15358"/>
                              <a:gd name="T211" fmla="*/ 15687 h 761"/>
                              <a:gd name="T212" fmla="+- 0 278 43"/>
                              <a:gd name="T213" fmla="*/ T212 w 258"/>
                              <a:gd name="T214" fmla="+- 0 15523 15358"/>
                              <a:gd name="T215" fmla="*/ 15523 h 761"/>
                              <a:gd name="T216" fmla="+- 0 300 43"/>
                              <a:gd name="T217" fmla="*/ T216 w 258"/>
                              <a:gd name="T218" fmla="+- 0 16012 15358"/>
                              <a:gd name="T219" fmla="*/ 16012 h 761"/>
                              <a:gd name="T220" fmla="+- 0 299 43"/>
                              <a:gd name="T221" fmla="*/ T220 w 258"/>
                              <a:gd name="T222" fmla="+- 0 15770 15358"/>
                              <a:gd name="T223" fmla="*/ 15770 h 761"/>
                              <a:gd name="T224" fmla="+- 0 294 43"/>
                              <a:gd name="T225" fmla="*/ T224 w 258"/>
                              <a:gd name="T226" fmla="+- 0 15641 15358"/>
                              <a:gd name="T227" fmla="*/ 15641 h 761"/>
                              <a:gd name="T228" fmla="+- 0 293 43"/>
                              <a:gd name="T229" fmla="*/ T228 w 258"/>
                              <a:gd name="T230" fmla="+- 0 15551 15358"/>
                              <a:gd name="T231" fmla="*/ 15551 h 761"/>
                              <a:gd name="T232" fmla="+- 0 299 43"/>
                              <a:gd name="T233" fmla="*/ T232 w 258"/>
                              <a:gd name="T234" fmla="+- 0 15427 15358"/>
                              <a:gd name="T235" fmla="*/ 15427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8" h="761">
                                <a:moveTo>
                                  <a:pt x="8" y="708"/>
                                </a:moveTo>
                                <a:lnTo>
                                  <a:pt x="6" y="706"/>
                                </a:lnTo>
                                <a:lnTo>
                                  <a:pt x="4" y="706"/>
                                </a:lnTo>
                                <a:lnTo>
                                  <a:pt x="2" y="706"/>
                                </a:lnTo>
                                <a:lnTo>
                                  <a:pt x="0" y="708"/>
                                </a:lnTo>
                                <a:lnTo>
                                  <a:pt x="0" y="758"/>
                                </a:lnTo>
                                <a:lnTo>
                                  <a:pt x="2" y="759"/>
                                </a:lnTo>
                                <a:lnTo>
                                  <a:pt x="6" y="759"/>
                                </a:lnTo>
                                <a:lnTo>
                                  <a:pt x="8" y="758"/>
                                </a:lnTo>
                                <a:lnTo>
                                  <a:pt x="8" y="708"/>
                                </a:lnTo>
                                <a:close/>
                                <a:moveTo>
                                  <a:pt x="29" y="712"/>
                                </a:moveTo>
                                <a:lnTo>
                                  <a:pt x="27" y="710"/>
                                </a:lnTo>
                                <a:lnTo>
                                  <a:pt x="25" y="710"/>
                                </a:lnTo>
                                <a:lnTo>
                                  <a:pt x="23" y="710"/>
                                </a:lnTo>
                                <a:lnTo>
                                  <a:pt x="21" y="712"/>
                                </a:lnTo>
                                <a:lnTo>
                                  <a:pt x="21" y="759"/>
                                </a:lnTo>
                                <a:lnTo>
                                  <a:pt x="23" y="761"/>
                                </a:lnTo>
                                <a:lnTo>
                                  <a:pt x="27" y="761"/>
                                </a:lnTo>
                                <a:lnTo>
                                  <a:pt x="29" y="759"/>
                                </a:lnTo>
                                <a:lnTo>
                                  <a:pt x="29" y="712"/>
                                </a:lnTo>
                                <a:close/>
                                <a:moveTo>
                                  <a:pt x="29" y="478"/>
                                </a:moveTo>
                                <a:lnTo>
                                  <a:pt x="27" y="477"/>
                                </a:lnTo>
                                <a:lnTo>
                                  <a:pt x="25" y="477"/>
                                </a:lnTo>
                                <a:lnTo>
                                  <a:pt x="23" y="477"/>
                                </a:lnTo>
                                <a:lnTo>
                                  <a:pt x="21" y="478"/>
                                </a:lnTo>
                                <a:lnTo>
                                  <a:pt x="21" y="527"/>
                                </a:lnTo>
                                <a:lnTo>
                                  <a:pt x="23" y="529"/>
                                </a:lnTo>
                                <a:lnTo>
                                  <a:pt x="27" y="529"/>
                                </a:lnTo>
                                <a:lnTo>
                                  <a:pt x="29" y="527"/>
                                </a:lnTo>
                                <a:lnTo>
                                  <a:pt x="29" y="478"/>
                                </a:lnTo>
                                <a:close/>
                                <a:moveTo>
                                  <a:pt x="29" y="343"/>
                                </a:moveTo>
                                <a:lnTo>
                                  <a:pt x="27" y="341"/>
                                </a:lnTo>
                                <a:lnTo>
                                  <a:pt x="25" y="341"/>
                                </a:lnTo>
                                <a:lnTo>
                                  <a:pt x="23" y="341"/>
                                </a:lnTo>
                                <a:lnTo>
                                  <a:pt x="21" y="343"/>
                                </a:lnTo>
                                <a:lnTo>
                                  <a:pt x="21" y="419"/>
                                </a:lnTo>
                                <a:lnTo>
                                  <a:pt x="23" y="421"/>
                                </a:lnTo>
                                <a:lnTo>
                                  <a:pt x="27" y="421"/>
                                </a:lnTo>
                                <a:lnTo>
                                  <a:pt x="29" y="419"/>
                                </a:lnTo>
                                <a:lnTo>
                                  <a:pt x="29" y="343"/>
                                </a:lnTo>
                                <a:close/>
                                <a:moveTo>
                                  <a:pt x="29" y="234"/>
                                </a:moveTo>
                                <a:lnTo>
                                  <a:pt x="27" y="232"/>
                                </a:lnTo>
                                <a:lnTo>
                                  <a:pt x="25" y="232"/>
                                </a:lnTo>
                                <a:lnTo>
                                  <a:pt x="23" y="232"/>
                                </a:lnTo>
                                <a:lnTo>
                                  <a:pt x="21" y="234"/>
                                </a:lnTo>
                                <a:lnTo>
                                  <a:pt x="21" y="283"/>
                                </a:lnTo>
                                <a:lnTo>
                                  <a:pt x="23" y="284"/>
                                </a:lnTo>
                                <a:lnTo>
                                  <a:pt x="27" y="284"/>
                                </a:lnTo>
                                <a:lnTo>
                                  <a:pt x="29" y="283"/>
                                </a:lnTo>
                                <a:lnTo>
                                  <a:pt x="29" y="234"/>
                                </a:lnTo>
                                <a:close/>
                                <a:moveTo>
                                  <a:pt x="29" y="110"/>
                                </a:moveTo>
                                <a:lnTo>
                                  <a:pt x="27" y="108"/>
                                </a:lnTo>
                                <a:lnTo>
                                  <a:pt x="25" y="108"/>
                                </a:lnTo>
                                <a:lnTo>
                                  <a:pt x="23" y="108"/>
                                </a:lnTo>
                                <a:lnTo>
                                  <a:pt x="21" y="110"/>
                                </a:lnTo>
                                <a:lnTo>
                                  <a:pt x="21" y="159"/>
                                </a:lnTo>
                                <a:lnTo>
                                  <a:pt x="23" y="160"/>
                                </a:lnTo>
                                <a:lnTo>
                                  <a:pt x="27" y="160"/>
                                </a:lnTo>
                                <a:lnTo>
                                  <a:pt x="29" y="159"/>
                                </a:lnTo>
                                <a:lnTo>
                                  <a:pt x="29" y="110"/>
                                </a:lnTo>
                                <a:close/>
                                <a:moveTo>
                                  <a:pt x="29" y="4"/>
                                </a:moveTo>
                                <a:lnTo>
                                  <a:pt x="27" y="2"/>
                                </a:lnTo>
                                <a:lnTo>
                                  <a:pt x="25" y="2"/>
                                </a:lnTo>
                                <a:lnTo>
                                  <a:pt x="23" y="2"/>
                                </a:lnTo>
                                <a:lnTo>
                                  <a:pt x="21" y="4"/>
                                </a:lnTo>
                                <a:lnTo>
                                  <a:pt x="21" y="49"/>
                                </a:lnTo>
                                <a:lnTo>
                                  <a:pt x="23" y="51"/>
                                </a:lnTo>
                                <a:lnTo>
                                  <a:pt x="27" y="51"/>
                                </a:lnTo>
                                <a:lnTo>
                                  <a:pt x="29" y="49"/>
                                </a:lnTo>
                                <a:lnTo>
                                  <a:pt x="29" y="4"/>
                                </a:lnTo>
                                <a:close/>
                                <a:moveTo>
                                  <a:pt x="50" y="712"/>
                                </a:moveTo>
                                <a:lnTo>
                                  <a:pt x="48" y="710"/>
                                </a:lnTo>
                                <a:lnTo>
                                  <a:pt x="46" y="710"/>
                                </a:lnTo>
                                <a:lnTo>
                                  <a:pt x="44" y="710"/>
                                </a:lnTo>
                                <a:lnTo>
                                  <a:pt x="42" y="712"/>
                                </a:lnTo>
                                <a:lnTo>
                                  <a:pt x="42" y="759"/>
                                </a:lnTo>
                                <a:lnTo>
                                  <a:pt x="44" y="761"/>
                                </a:lnTo>
                                <a:lnTo>
                                  <a:pt x="48" y="761"/>
                                </a:lnTo>
                                <a:lnTo>
                                  <a:pt x="50" y="759"/>
                                </a:lnTo>
                                <a:lnTo>
                                  <a:pt x="50" y="712"/>
                                </a:lnTo>
                                <a:close/>
                                <a:moveTo>
                                  <a:pt x="50" y="605"/>
                                </a:moveTo>
                                <a:lnTo>
                                  <a:pt x="48" y="604"/>
                                </a:lnTo>
                                <a:lnTo>
                                  <a:pt x="46" y="604"/>
                                </a:lnTo>
                                <a:lnTo>
                                  <a:pt x="44" y="604"/>
                                </a:lnTo>
                                <a:lnTo>
                                  <a:pt x="42" y="605"/>
                                </a:lnTo>
                                <a:lnTo>
                                  <a:pt x="42" y="653"/>
                                </a:lnTo>
                                <a:lnTo>
                                  <a:pt x="44" y="655"/>
                                </a:lnTo>
                                <a:lnTo>
                                  <a:pt x="48" y="655"/>
                                </a:lnTo>
                                <a:lnTo>
                                  <a:pt x="50" y="653"/>
                                </a:lnTo>
                                <a:lnTo>
                                  <a:pt x="50" y="605"/>
                                </a:lnTo>
                                <a:close/>
                                <a:moveTo>
                                  <a:pt x="50" y="478"/>
                                </a:moveTo>
                                <a:lnTo>
                                  <a:pt x="48" y="476"/>
                                </a:lnTo>
                                <a:lnTo>
                                  <a:pt x="46" y="476"/>
                                </a:lnTo>
                                <a:lnTo>
                                  <a:pt x="44" y="476"/>
                                </a:lnTo>
                                <a:lnTo>
                                  <a:pt x="42" y="478"/>
                                </a:lnTo>
                                <a:lnTo>
                                  <a:pt x="42" y="526"/>
                                </a:lnTo>
                                <a:lnTo>
                                  <a:pt x="44" y="528"/>
                                </a:lnTo>
                                <a:lnTo>
                                  <a:pt x="48" y="528"/>
                                </a:lnTo>
                                <a:lnTo>
                                  <a:pt x="50" y="526"/>
                                </a:lnTo>
                                <a:lnTo>
                                  <a:pt x="50" y="478"/>
                                </a:lnTo>
                                <a:close/>
                                <a:moveTo>
                                  <a:pt x="50" y="343"/>
                                </a:moveTo>
                                <a:lnTo>
                                  <a:pt x="48" y="342"/>
                                </a:lnTo>
                                <a:lnTo>
                                  <a:pt x="46" y="342"/>
                                </a:lnTo>
                                <a:lnTo>
                                  <a:pt x="44" y="342"/>
                                </a:lnTo>
                                <a:lnTo>
                                  <a:pt x="42" y="343"/>
                                </a:lnTo>
                                <a:lnTo>
                                  <a:pt x="42" y="418"/>
                                </a:lnTo>
                                <a:lnTo>
                                  <a:pt x="44" y="420"/>
                                </a:lnTo>
                                <a:lnTo>
                                  <a:pt x="48" y="420"/>
                                </a:lnTo>
                                <a:lnTo>
                                  <a:pt x="50" y="418"/>
                                </a:lnTo>
                                <a:lnTo>
                                  <a:pt x="50" y="343"/>
                                </a:lnTo>
                                <a:close/>
                                <a:moveTo>
                                  <a:pt x="50" y="236"/>
                                </a:moveTo>
                                <a:lnTo>
                                  <a:pt x="48" y="234"/>
                                </a:lnTo>
                                <a:lnTo>
                                  <a:pt x="46" y="234"/>
                                </a:lnTo>
                                <a:lnTo>
                                  <a:pt x="44" y="234"/>
                                </a:lnTo>
                                <a:lnTo>
                                  <a:pt x="42" y="236"/>
                                </a:lnTo>
                                <a:lnTo>
                                  <a:pt x="42" y="284"/>
                                </a:lnTo>
                                <a:lnTo>
                                  <a:pt x="44" y="285"/>
                                </a:lnTo>
                                <a:lnTo>
                                  <a:pt x="48" y="285"/>
                                </a:lnTo>
                                <a:lnTo>
                                  <a:pt x="50" y="284"/>
                                </a:lnTo>
                                <a:lnTo>
                                  <a:pt x="50" y="236"/>
                                </a:lnTo>
                                <a:close/>
                                <a:moveTo>
                                  <a:pt x="50" y="108"/>
                                </a:moveTo>
                                <a:lnTo>
                                  <a:pt x="48" y="107"/>
                                </a:lnTo>
                                <a:lnTo>
                                  <a:pt x="46" y="107"/>
                                </a:lnTo>
                                <a:lnTo>
                                  <a:pt x="44" y="107"/>
                                </a:lnTo>
                                <a:lnTo>
                                  <a:pt x="42" y="108"/>
                                </a:lnTo>
                                <a:lnTo>
                                  <a:pt x="42" y="156"/>
                                </a:lnTo>
                                <a:lnTo>
                                  <a:pt x="44" y="158"/>
                                </a:lnTo>
                                <a:lnTo>
                                  <a:pt x="48" y="158"/>
                                </a:lnTo>
                                <a:lnTo>
                                  <a:pt x="50" y="156"/>
                                </a:lnTo>
                                <a:lnTo>
                                  <a:pt x="50" y="108"/>
                                </a:lnTo>
                                <a:close/>
                                <a:moveTo>
                                  <a:pt x="50" y="4"/>
                                </a:moveTo>
                                <a:lnTo>
                                  <a:pt x="48" y="2"/>
                                </a:lnTo>
                                <a:lnTo>
                                  <a:pt x="46" y="2"/>
                                </a:lnTo>
                                <a:lnTo>
                                  <a:pt x="44" y="2"/>
                                </a:lnTo>
                                <a:lnTo>
                                  <a:pt x="42" y="4"/>
                                </a:lnTo>
                                <a:lnTo>
                                  <a:pt x="42" y="48"/>
                                </a:lnTo>
                                <a:lnTo>
                                  <a:pt x="44" y="50"/>
                                </a:lnTo>
                                <a:lnTo>
                                  <a:pt x="48" y="50"/>
                                </a:lnTo>
                                <a:lnTo>
                                  <a:pt x="50" y="48"/>
                                </a:lnTo>
                                <a:lnTo>
                                  <a:pt x="50" y="4"/>
                                </a:lnTo>
                                <a:close/>
                                <a:moveTo>
                                  <a:pt x="70" y="711"/>
                                </a:moveTo>
                                <a:lnTo>
                                  <a:pt x="69" y="709"/>
                                </a:lnTo>
                                <a:lnTo>
                                  <a:pt x="66" y="709"/>
                                </a:lnTo>
                                <a:lnTo>
                                  <a:pt x="64" y="709"/>
                                </a:lnTo>
                                <a:lnTo>
                                  <a:pt x="63" y="711"/>
                                </a:lnTo>
                                <a:lnTo>
                                  <a:pt x="63" y="759"/>
                                </a:lnTo>
                                <a:lnTo>
                                  <a:pt x="64" y="761"/>
                                </a:lnTo>
                                <a:lnTo>
                                  <a:pt x="69" y="761"/>
                                </a:lnTo>
                                <a:lnTo>
                                  <a:pt x="70" y="759"/>
                                </a:lnTo>
                                <a:lnTo>
                                  <a:pt x="70" y="711"/>
                                </a:lnTo>
                                <a:close/>
                                <a:moveTo>
                                  <a:pt x="70" y="602"/>
                                </a:moveTo>
                                <a:lnTo>
                                  <a:pt x="69" y="600"/>
                                </a:lnTo>
                                <a:lnTo>
                                  <a:pt x="66" y="600"/>
                                </a:lnTo>
                                <a:lnTo>
                                  <a:pt x="64" y="600"/>
                                </a:lnTo>
                                <a:lnTo>
                                  <a:pt x="63" y="602"/>
                                </a:lnTo>
                                <a:lnTo>
                                  <a:pt x="63" y="651"/>
                                </a:lnTo>
                                <a:lnTo>
                                  <a:pt x="64" y="653"/>
                                </a:lnTo>
                                <a:lnTo>
                                  <a:pt x="69" y="653"/>
                                </a:lnTo>
                                <a:lnTo>
                                  <a:pt x="70" y="651"/>
                                </a:lnTo>
                                <a:lnTo>
                                  <a:pt x="70" y="602"/>
                                </a:lnTo>
                                <a:close/>
                                <a:moveTo>
                                  <a:pt x="70" y="479"/>
                                </a:moveTo>
                                <a:lnTo>
                                  <a:pt x="69" y="478"/>
                                </a:lnTo>
                                <a:lnTo>
                                  <a:pt x="66" y="478"/>
                                </a:lnTo>
                                <a:lnTo>
                                  <a:pt x="64" y="478"/>
                                </a:lnTo>
                                <a:lnTo>
                                  <a:pt x="63" y="479"/>
                                </a:lnTo>
                                <a:lnTo>
                                  <a:pt x="63" y="528"/>
                                </a:lnTo>
                                <a:lnTo>
                                  <a:pt x="64" y="530"/>
                                </a:lnTo>
                                <a:lnTo>
                                  <a:pt x="69" y="530"/>
                                </a:lnTo>
                                <a:lnTo>
                                  <a:pt x="70" y="528"/>
                                </a:lnTo>
                                <a:lnTo>
                                  <a:pt x="70" y="479"/>
                                </a:lnTo>
                                <a:close/>
                                <a:moveTo>
                                  <a:pt x="70" y="342"/>
                                </a:moveTo>
                                <a:lnTo>
                                  <a:pt x="69" y="340"/>
                                </a:lnTo>
                                <a:lnTo>
                                  <a:pt x="66" y="340"/>
                                </a:lnTo>
                                <a:lnTo>
                                  <a:pt x="64" y="340"/>
                                </a:lnTo>
                                <a:lnTo>
                                  <a:pt x="63" y="342"/>
                                </a:lnTo>
                                <a:lnTo>
                                  <a:pt x="63" y="419"/>
                                </a:lnTo>
                                <a:lnTo>
                                  <a:pt x="64" y="420"/>
                                </a:lnTo>
                                <a:lnTo>
                                  <a:pt x="69" y="420"/>
                                </a:lnTo>
                                <a:lnTo>
                                  <a:pt x="70" y="419"/>
                                </a:lnTo>
                                <a:lnTo>
                                  <a:pt x="70" y="342"/>
                                </a:lnTo>
                                <a:close/>
                                <a:moveTo>
                                  <a:pt x="70" y="232"/>
                                </a:moveTo>
                                <a:lnTo>
                                  <a:pt x="69" y="230"/>
                                </a:lnTo>
                                <a:lnTo>
                                  <a:pt x="66" y="230"/>
                                </a:lnTo>
                                <a:lnTo>
                                  <a:pt x="64" y="230"/>
                                </a:lnTo>
                                <a:lnTo>
                                  <a:pt x="63" y="232"/>
                                </a:lnTo>
                                <a:lnTo>
                                  <a:pt x="63" y="282"/>
                                </a:lnTo>
                                <a:lnTo>
                                  <a:pt x="64" y="284"/>
                                </a:lnTo>
                                <a:lnTo>
                                  <a:pt x="69" y="284"/>
                                </a:lnTo>
                                <a:lnTo>
                                  <a:pt x="70" y="282"/>
                                </a:lnTo>
                                <a:lnTo>
                                  <a:pt x="70" y="232"/>
                                </a:lnTo>
                                <a:close/>
                                <a:moveTo>
                                  <a:pt x="70" y="111"/>
                                </a:moveTo>
                                <a:lnTo>
                                  <a:pt x="69" y="109"/>
                                </a:lnTo>
                                <a:lnTo>
                                  <a:pt x="66" y="109"/>
                                </a:lnTo>
                                <a:lnTo>
                                  <a:pt x="64" y="109"/>
                                </a:lnTo>
                                <a:lnTo>
                                  <a:pt x="63" y="111"/>
                                </a:lnTo>
                                <a:lnTo>
                                  <a:pt x="63" y="159"/>
                                </a:lnTo>
                                <a:lnTo>
                                  <a:pt x="64" y="161"/>
                                </a:lnTo>
                                <a:lnTo>
                                  <a:pt x="69" y="161"/>
                                </a:lnTo>
                                <a:lnTo>
                                  <a:pt x="70" y="159"/>
                                </a:lnTo>
                                <a:lnTo>
                                  <a:pt x="70" y="111"/>
                                </a:lnTo>
                                <a:close/>
                                <a:moveTo>
                                  <a:pt x="70" y="2"/>
                                </a:moveTo>
                                <a:lnTo>
                                  <a:pt x="69" y="0"/>
                                </a:lnTo>
                                <a:lnTo>
                                  <a:pt x="66" y="0"/>
                                </a:lnTo>
                                <a:lnTo>
                                  <a:pt x="64" y="0"/>
                                </a:lnTo>
                                <a:lnTo>
                                  <a:pt x="63" y="2"/>
                                </a:lnTo>
                                <a:lnTo>
                                  <a:pt x="63" y="50"/>
                                </a:lnTo>
                                <a:lnTo>
                                  <a:pt x="64" y="52"/>
                                </a:lnTo>
                                <a:lnTo>
                                  <a:pt x="69" y="52"/>
                                </a:lnTo>
                                <a:lnTo>
                                  <a:pt x="70" y="50"/>
                                </a:lnTo>
                                <a:lnTo>
                                  <a:pt x="70" y="2"/>
                                </a:lnTo>
                                <a:close/>
                                <a:moveTo>
                                  <a:pt x="91" y="708"/>
                                </a:moveTo>
                                <a:lnTo>
                                  <a:pt x="89" y="706"/>
                                </a:lnTo>
                                <a:lnTo>
                                  <a:pt x="87" y="706"/>
                                </a:lnTo>
                                <a:lnTo>
                                  <a:pt x="85" y="706"/>
                                </a:lnTo>
                                <a:lnTo>
                                  <a:pt x="83" y="708"/>
                                </a:lnTo>
                                <a:lnTo>
                                  <a:pt x="83" y="757"/>
                                </a:lnTo>
                                <a:lnTo>
                                  <a:pt x="85" y="759"/>
                                </a:lnTo>
                                <a:lnTo>
                                  <a:pt x="89" y="759"/>
                                </a:lnTo>
                                <a:lnTo>
                                  <a:pt x="91" y="757"/>
                                </a:lnTo>
                                <a:lnTo>
                                  <a:pt x="91" y="708"/>
                                </a:lnTo>
                                <a:close/>
                                <a:moveTo>
                                  <a:pt x="91" y="593"/>
                                </a:moveTo>
                                <a:lnTo>
                                  <a:pt x="89" y="591"/>
                                </a:lnTo>
                                <a:lnTo>
                                  <a:pt x="87" y="591"/>
                                </a:lnTo>
                                <a:lnTo>
                                  <a:pt x="85" y="591"/>
                                </a:lnTo>
                                <a:lnTo>
                                  <a:pt x="83" y="593"/>
                                </a:lnTo>
                                <a:lnTo>
                                  <a:pt x="83" y="645"/>
                                </a:lnTo>
                                <a:lnTo>
                                  <a:pt x="85" y="646"/>
                                </a:lnTo>
                                <a:lnTo>
                                  <a:pt x="89" y="646"/>
                                </a:lnTo>
                                <a:lnTo>
                                  <a:pt x="91" y="645"/>
                                </a:lnTo>
                                <a:lnTo>
                                  <a:pt x="91" y="593"/>
                                </a:lnTo>
                                <a:close/>
                                <a:moveTo>
                                  <a:pt x="91" y="485"/>
                                </a:moveTo>
                                <a:lnTo>
                                  <a:pt x="89" y="483"/>
                                </a:lnTo>
                                <a:lnTo>
                                  <a:pt x="87" y="483"/>
                                </a:lnTo>
                                <a:lnTo>
                                  <a:pt x="85" y="483"/>
                                </a:lnTo>
                                <a:lnTo>
                                  <a:pt x="83" y="485"/>
                                </a:lnTo>
                                <a:lnTo>
                                  <a:pt x="83" y="537"/>
                                </a:lnTo>
                                <a:lnTo>
                                  <a:pt x="85" y="539"/>
                                </a:lnTo>
                                <a:lnTo>
                                  <a:pt x="89" y="539"/>
                                </a:lnTo>
                                <a:lnTo>
                                  <a:pt x="91" y="537"/>
                                </a:lnTo>
                                <a:lnTo>
                                  <a:pt x="91" y="485"/>
                                </a:lnTo>
                                <a:close/>
                                <a:moveTo>
                                  <a:pt x="91" y="339"/>
                                </a:moveTo>
                                <a:lnTo>
                                  <a:pt x="89" y="337"/>
                                </a:lnTo>
                                <a:lnTo>
                                  <a:pt x="87" y="337"/>
                                </a:lnTo>
                                <a:lnTo>
                                  <a:pt x="85" y="337"/>
                                </a:lnTo>
                                <a:lnTo>
                                  <a:pt x="83" y="339"/>
                                </a:lnTo>
                                <a:lnTo>
                                  <a:pt x="83" y="422"/>
                                </a:lnTo>
                                <a:lnTo>
                                  <a:pt x="85" y="424"/>
                                </a:lnTo>
                                <a:lnTo>
                                  <a:pt x="89" y="424"/>
                                </a:lnTo>
                                <a:lnTo>
                                  <a:pt x="91" y="422"/>
                                </a:lnTo>
                                <a:lnTo>
                                  <a:pt x="91" y="339"/>
                                </a:lnTo>
                                <a:close/>
                                <a:moveTo>
                                  <a:pt x="91" y="224"/>
                                </a:moveTo>
                                <a:lnTo>
                                  <a:pt x="89" y="222"/>
                                </a:lnTo>
                                <a:lnTo>
                                  <a:pt x="87" y="222"/>
                                </a:lnTo>
                                <a:lnTo>
                                  <a:pt x="85" y="222"/>
                                </a:lnTo>
                                <a:lnTo>
                                  <a:pt x="83" y="224"/>
                                </a:lnTo>
                                <a:lnTo>
                                  <a:pt x="83" y="275"/>
                                </a:lnTo>
                                <a:lnTo>
                                  <a:pt x="85" y="277"/>
                                </a:lnTo>
                                <a:lnTo>
                                  <a:pt x="89" y="277"/>
                                </a:lnTo>
                                <a:lnTo>
                                  <a:pt x="91" y="275"/>
                                </a:lnTo>
                                <a:lnTo>
                                  <a:pt x="91" y="224"/>
                                </a:lnTo>
                                <a:close/>
                                <a:moveTo>
                                  <a:pt x="91" y="115"/>
                                </a:moveTo>
                                <a:lnTo>
                                  <a:pt x="89" y="113"/>
                                </a:lnTo>
                                <a:lnTo>
                                  <a:pt x="87" y="113"/>
                                </a:lnTo>
                                <a:lnTo>
                                  <a:pt x="85" y="113"/>
                                </a:lnTo>
                                <a:lnTo>
                                  <a:pt x="83" y="115"/>
                                </a:lnTo>
                                <a:lnTo>
                                  <a:pt x="83" y="169"/>
                                </a:lnTo>
                                <a:lnTo>
                                  <a:pt x="85" y="170"/>
                                </a:lnTo>
                                <a:lnTo>
                                  <a:pt x="89" y="170"/>
                                </a:lnTo>
                                <a:lnTo>
                                  <a:pt x="91" y="169"/>
                                </a:lnTo>
                                <a:lnTo>
                                  <a:pt x="91" y="115"/>
                                </a:lnTo>
                                <a:close/>
                                <a:moveTo>
                                  <a:pt x="91" y="4"/>
                                </a:moveTo>
                                <a:lnTo>
                                  <a:pt x="89" y="2"/>
                                </a:lnTo>
                                <a:lnTo>
                                  <a:pt x="87" y="2"/>
                                </a:lnTo>
                                <a:lnTo>
                                  <a:pt x="85" y="2"/>
                                </a:lnTo>
                                <a:lnTo>
                                  <a:pt x="83" y="4"/>
                                </a:lnTo>
                                <a:lnTo>
                                  <a:pt x="83" y="53"/>
                                </a:lnTo>
                                <a:lnTo>
                                  <a:pt x="85" y="55"/>
                                </a:lnTo>
                                <a:lnTo>
                                  <a:pt x="89" y="55"/>
                                </a:lnTo>
                                <a:lnTo>
                                  <a:pt x="91" y="53"/>
                                </a:lnTo>
                                <a:lnTo>
                                  <a:pt x="91" y="4"/>
                                </a:lnTo>
                                <a:close/>
                                <a:moveTo>
                                  <a:pt x="112" y="702"/>
                                </a:moveTo>
                                <a:lnTo>
                                  <a:pt x="110" y="700"/>
                                </a:lnTo>
                                <a:lnTo>
                                  <a:pt x="108" y="700"/>
                                </a:lnTo>
                                <a:lnTo>
                                  <a:pt x="106" y="700"/>
                                </a:lnTo>
                                <a:lnTo>
                                  <a:pt x="104" y="702"/>
                                </a:lnTo>
                                <a:lnTo>
                                  <a:pt x="104" y="752"/>
                                </a:lnTo>
                                <a:lnTo>
                                  <a:pt x="106" y="754"/>
                                </a:lnTo>
                                <a:lnTo>
                                  <a:pt x="110" y="754"/>
                                </a:lnTo>
                                <a:lnTo>
                                  <a:pt x="112" y="752"/>
                                </a:lnTo>
                                <a:lnTo>
                                  <a:pt x="112" y="702"/>
                                </a:lnTo>
                                <a:close/>
                                <a:moveTo>
                                  <a:pt x="112" y="577"/>
                                </a:moveTo>
                                <a:lnTo>
                                  <a:pt x="110" y="576"/>
                                </a:lnTo>
                                <a:lnTo>
                                  <a:pt x="108" y="576"/>
                                </a:lnTo>
                                <a:lnTo>
                                  <a:pt x="106" y="576"/>
                                </a:lnTo>
                                <a:lnTo>
                                  <a:pt x="104" y="577"/>
                                </a:lnTo>
                                <a:lnTo>
                                  <a:pt x="104" y="636"/>
                                </a:lnTo>
                                <a:lnTo>
                                  <a:pt x="106" y="638"/>
                                </a:lnTo>
                                <a:lnTo>
                                  <a:pt x="110" y="638"/>
                                </a:lnTo>
                                <a:lnTo>
                                  <a:pt x="112" y="636"/>
                                </a:lnTo>
                                <a:lnTo>
                                  <a:pt x="112" y="577"/>
                                </a:lnTo>
                                <a:close/>
                                <a:moveTo>
                                  <a:pt x="112" y="495"/>
                                </a:moveTo>
                                <a:lnTo>
                                  <a:pt x="110" y="493"/>
                                </a:lnTo>
                                <a:lnTo>
                                  <a:pt x="108" y="493"/>
                                </a:lnTo>
                                <a:lnTo>
                                  <a:pt x="106" y="493"/>
                                </a:lnTo>
                                <a:lnTo>
                                  <a:pt x="104" y="495"/>
                                </a:lnTo>
                                <a:lnTo>
                                  <a:pt x="104" y="553"/>
                                </a:lnTo>
                                <a:lnTo>
                                  <a:pt x="106" y="554"/>
                                </a:lnTo>
                                <a:lnTo>
                                  <a:pt x="110" y="554"/>
                                </a:lnTo>
                                <a:lnTo>
                                  <a:pt x="112" y="553"/>
                                </a:lnTo>
                                <a:lnTo>
                                  <a:pt x="112" y="495"/>
                                </a:lnTo>
                                <a:close/>
                                <a:moveTo>
                                  <a:pt x="112" y="333"/>
                                </a:moveTo>
                                <a:lnTo>
                                  <a:pt x="110" y="331"/>
                                </a:lnTo>
                                <a:lnTo>
                                  <a:pt x="108" y="331"/>
                                </a:lnTo>
                                <a:lnTo>
                                  <a:pt x="106" y="331"/>
                                </a:lnTo>
                                <a:lnTo>
                                  <a:pt x="104" y="333"/>
                                </a:lnTo>
                                <a:lnTo>
                                  <a:pt x="104" y="429"/>
                                </a:lnTo>
                                <a:lnTo>
                                  <a:pt x="106" y="430"/>
                                </a:lnTo>
                                <a:lnTo>
                                  <a:pt x="110" y="430"/>
                                </a:lnTo>
                                <a:lnTo>
                                  <a:pt x="112" y="429"/>
                                </a:lnTo>
                                <a:lnTo>
                                  <a:pt x="112" y="333"/>
                                </a:lnTo>
                                <a:close/>
                                <a:moveTo>
                                  <a:pt x="112" y="209"/>
                                </a:moveTo>
                                <a:lnTo>
                                  <a:pt x="110" y="207"/>
                                </a:lnTo>
                                <a:lnTo>
                                  <a:pt x="108" y="207"/>
                                </a:lnTo>
                                <a:lnTo>
                                  <a:pt x="106" y="207"/>
                                </a:lnTo>
                                <a:lnTo>
                                  <a:pt x="104" y="209"/>
                                </a:lnTo>
                                <a:lnTo>
                                  <a:pt x="104" y="267"/>
                                </a:lnTo>
                                <a:lnTo>
                                  <a:pt x="106" y="268"/>
                                </a:lnTo>
                                <a:lnTo>
                                  <a:pt x="110" y="268"/>
                                </a:lnTo>
                                <a:lnTo>
                                  <a:pt x="112" y="267"/>
                                </a:lnTo>
                                <a:lnTo>
                                  <a:pt x="112" y="209"/>
                                </a:lnTo>
                                <a:close/>
                                <a:moveTo>
                                  <a:pt x="112" y="125"/>
                                </a:moveTo>
                                <a:lnTo>
                                  <a:pt x="110" y="123"/>
                                </a:lnTo>
                                <a:lnTo>
                                  <a:pt x="108" y="123"/>
                                </a:lnTo>
                                <a:lnTo>
                                  <a:pt x="106" y="123"/>
                                </a:lnTo>
                                <a:lnTo>
                                  <a:pt x="104" y="125"/>
                                </a:lnTo>
                                <a:lnTo>
                                  <a:pt x="104" y="184"/>
                                </a:lnTo>
                                <a:lnTo>
                                  <a:pt x="106" y="185"/>
                                </a:lnTo>
                                <a:lnTo>
                                  <a:pt x="110" y="185"/>
                                </a:lnTo>
                                <a:lnTo>
                                  <a:pt x="112" y="184"/>
                                </a:lnTo>
                                <a:lnTo>
                                  <a:pt x="112" y="125"/>
                                </a:lnTo>
                                <a:close/>
                                <a:moveTo>
                                  <a:pt x="112" y="9"/>
                                </a:moveTo>
                                <a:lnTo>
                                  <a:pt x="110" y="8"/>
                                </a:lnTo>
                                <a:lnTo>
                                  <a:pt x="108" y="8"/>
                                </a:lnTo>
                                <a:lnTo>
                                  <a:pt x="106" y="8"/>
                                </a:lnTo>
                                <a:lnTo>
                                  <a:pt x="104" y="9"/>
                                </a:lnTo>
                                <a:lnTo>
                                  <a:pt x="104" y="58"/>
                                </a:lnTo>
                                <a:lnTo>
                                  <a:pt x="106" y="60"/>
                                </a:lnTo>
                                <a:lnTo>
                                  <a:pt x="110" y="60"/>
                                </a:lnTo>
                                <a:lnTo>
                                  <a:pt x="112" y="58"/>
                                </a:lnTo>
                                <a:lnTo>
                                  <a:pt x="112" y="9"/>
                                </a:lnTo>
                                <a:close/>
                                <a:moveTo>
                                  <a:pt x="133" y="694"/>
                                </a:moveTo>
                                <a:lnTo>
                                  <a:pt x="131" y="692"/>
                                </a:lnTo>
                                <a:lnTo>
                                  <a:pt x="129" y="692"/>
                                </a:lnTo>
                                <a:lnTo>
                                  <a:pt x="127" y="692"/>
                                </a:lnTo>
                                <a:lnTo>
                                  <a:pt x="125" y="694"/>
                                </a:lnTo>
                                <a:lnTo>
                                  <a:pt x="125" y="745"/>
                                </a:lnTo>
                                <a:lnTo>
                                  <a:pt x="127" y="746"/>
                                </a:lnTo>
                                <a:lnTo>
                                  <a:pt x="131" y="746"/>
                                </a:lnTo>
                                <a:lnTo>
                                  <a:pt x="133" y="745"/>
                                </a:lnTo>
                                <a:lnTo>
                                  <a:pt x="133" y="694"/>
                                </a:lnTo>
                                <a:close/>
                                <a:moveTo>
                                  <a:pt x="133" y="509"/>
                                </a:moveTo>
                                <a:lnTo>
                                  <a:pt x="131" y="507"/>
                                </a:lnTo>
                                <a:lnTo>
                                  <a:pt x="129" y="507"/>
                                </a:lnTo>
                                <a:lnTo>
                                  <a:pt x="127" y="507"/>
                                </a:lnTo>
                                <a:lnTo>
                                  <a:pt x="125" y="509"/>
                                </a:lnTo>
                                <a:lnTo>
                                  <a:pt x="125" y="622"/>
                                </a:lnTo>
                                <a:lnTo>
                                  <a:pt x="127" y="624"/>
                                </a:lnTo>
                                <a:lnTo>
                                  <a:pt x="131" y="624"/>
                                </a:lnTo>
                                <a:lnTo>
                                  <a:pt x="133" y="622"/>
                                </a:lnTo>
                                <a:lnTo>
                                  <a:pt x="133" y="509"/>
                                </a:lnTo>
                                <a:close/>
                                <a:moveTo>
                                  <a:pt x="133" y="388"/>
                                </a:moveTo>
                                <a:lnTo>
                                  <a:pt x="131" y="386"/>
                                </a:lnTo>
                                <a:lnTo>
                                  <a:pt x="129" y="386"/>
                                </a:lnTo>
                                <a:lnTo>
                                  <a:pt x="127" y="386"/>
                                </a:lnTo>
                                <a:lnTo>
                                  <a:pt x="125" y="388"/>
                                </a:lnTo>
                                <a:lnTo>
                                  <a:pt x="125" y="437"/>
                                </a:lnTo>
                                <a:lnTo>
                                  <a:pt x="127" y="439"/>
                                </a:lnTo>
                                <a:lnTo>
                                  <a:pt x="131" y="439"/>
                                </a:lnTo>
                                <a:lnTo>
                                  <a:pt x="133" y="437"/>
                                </a:lnTo>
                                <a:lnTo>
                                  <a:pt x="133" y="388"/>
                                </a:lnTo>
                                <a:close/>
                                <a:moveTo>
                                  <a:pt x="133" y="323"/>
                                </a:moveTo>
                                <a:lnTo>
                                  <a:pt x="131" y="321"/>
                                </a:lnTo>
                                <a:lnTo>
                                  <a:pt x="129" y="321"/>
                                </a:lnTo>
                                <a:lnTo>
                                  <a:pt x="127" y="321"/>
                                </a:lnTo>
                                <a:lnTo>
                                  <a:pt x="125" y="323"/>
                                </a:lnTo>
                                <a:lnTo>
                                  <a:pt x="125" y="374"/>
                                </a:lnTo>
                                <a:lnTo>
                                  <a:pt x="127" y="376"/>
                                </a:lnTo>
                                <a:lnTo>
                                  <a:pt x="131" y="376"/>
                                </a:lnTo>
                                <a:lnTo>
                                  <a:pt x="133" y="374"/>
                                </a:lnTo>
                                <a:lnTo>
                                  <a:pt x="133" y="323"/>
                                </a:lnTo>
                                <a:close/>
                                <a:moveTo>
                                  <a:pt x="133" y="140"/>
                                </a:moveTo>
                                <a:lnTo>
                                  <a:pt x="131" y="138"/>
                                </a:lnTo>
                                <a:lnTo>
                                  <a:pt x="129" y="138"/>
                                </a:lnTo>
                                <a:lnTo>
                                  <a:pt x="127" y="138"/>
                                </a:lnTo>
                                <a:lnTo>
                                  <a:pt x="125" y="140"/>
                                </a:lnTo>
                                <a:lnTo>
                                  <a:pt x="125" y="252"/>
                                </a:lnTo>
                                <a:lnTo>
                                  <a:pt x="127" y="253"/>
                                </a:lnTo>
                                <a:lnTo>
                                  <a:pt x="131" y="253"/>
                                </a:lnTo>
                                <a:lnTo>
                                  <a:pt x="133" y="252"/>
                                </a:lnTo>
                                <a:lnTo>
                                  <a:pt x="133" y="140"/>
                                </a:lnTo>
                                <a:close/>
                                <a:moveTo>
                                  <a:pt x="133" y="16"/>
                                </a:moveTo>
                                <a:lnTo>
                                  <a:pt x="131" y="15"/>
                                </a:lnTo>
                                <a:lnTo>
                                  <a:pt x="129" y="15"/>
                                </a:lnTo>
                                <a:lnTo>
                                  <a:pt x="127" y="15"/>
                                </a:lnTo>
                                <a:lnTo>
                                  <a:pt x="125" y="16"/>
                                </a:lnTo>
                                <a:lnTo>
                                  <a:pt x="125" y="68"/>
                                </a:lnTo>
                                <a:lnTo>
                                  <a:pt x="127" y="69"/>
                                </a:lnTo>
                                <a:lnTo>
                                  <a:pt x="131" y="69"/>
                                </a:lnTo>
                                <a:lnTo>
                                  <a:pt x="133" y="68"/>
                                </a:lnTo>
                                <a:lnTo>
                                  <a:pt x="133" y="16"/>
                                </a:lnTo>
                                <a:close/>
                                <a:moveTo>
                                  <a:pt x="154" y="682"/>
                                </a:moveTo>
                                <a:lnTo>
                                  <a:pt x="152" y="680"/>
                                </a:lnTo>
                                <a:lnTo>
                                  <a:pt x="150" y="680"/>
                                </a:lnTo>
                                <a:lnTo>
                                  <a:pt x="147" y="680"/>
                                </a:lnTo>
                                <a:lnTo>
                                  <a:pt x="146" y="682"/>
                                </a:lnTo>
                                <a:lnTo>
                                  <a:pt x="146" y="737"/>
                                </a:lnTo>
                                <a:lnTo>
                                  <a:pt x="147" y="739"/>
                                </a:lnTo>
                                <a:lnTo>
                                  <a:pt x="152" y="739"/>
                                </a:lnTo>
                                <a:lnTo>
                                  <a:pt x="154" y="737"/>
                                </a:lnTo>
                                <a:lnTo>
                                  <a:pt x="154" y="682"/>
                                </a:lnTo>
                                <a:close/>
                                <a:moveTo>
                                  <a:pt x="154" y="528"/>
                                </a:moveTo>
                                <a:lnTo>
                                  <a:pt x="152" y="527"/>
                                </a:lnTo>
                                <a:lnTo>
                                  <a:pt x="150" y="527"/>
                                </a:lnTo>
                                <a:lnTo>
                                  <a:pt x="147" y="527"/>
                                </a:lnTo>
                                <a:lnTo>
                                  <a:pt x="146" y="528"/>
                                </a:lnTo>
                                <a:lnTo>
                                  <a:pt x="146" y="603"/>
                                </a:lnTo>
                                <a:lnTo>
                                  <a:pt x="147" y="605"/>
                                </a:lnTo>
                                <a:lnTo>
                                  <a:pt x="152" y="605"/>
                                </a:lnTo>
                                <a:lnTo>
                                  <a:pt x="154" y="603"/>
                                </a:lnTo>
                                <a:lnTo>
                                  <a:pt x="154" y="528"/>
                                </a:lnTo>
                                <a:close/>
                                <a:moveTo>
                                  <a:pt x="154" y="395"/>
                                </a:moveTo>
                                <a:lnTo>
                                  <a:pt x="152" y="394"/>
                                </a:lnTo>
                                <a:lnTo>
                                  <a:pt x="150" y="394"/>
                                </a:lnTo>
                                <a:lnTo>
                                  <a:pt x="147" y="394"/>
                                </a:lnTo>
                                <a:lnTo>
                                  <a:pt x="146" y="395"/>
                                </a:lnTo>
                                <a:lnTo>
                                  <a:pt x="146" y="449"/>
                                </a:lnTo>
                                <a:lnTo>
                                  <a:pt x="147" y="451"/>
                                </a:lnTo>
                                <a:lnTo>
                                  <a:pt x="152" y="451"/>
                                </a:lnTo>
                                <a:lnTo>
                                  <a:pt x="154" y="449"/>
                                </a:lnTo>
                                <a:lnTo>
                                  <a:pt x="154" y="395"/>
                                </a:lnTo>
                                <a:close/>
                                <a:moveTo>
                                  <a:pt x="154" y="312"/>
                                </a:moveTo>
                                <a:lnTo>
                                  <a:pt x="152" y="311"/>
                                </a:lnTo>
                                <a:lnTo>
                                  <a:pt x="150" y="311"/>
                                </a:lnTo>
                                <a:lnTo>
                                  <a:pt x="147" y="311"/>
                                </a:lnTo>
                                <a:lnTo>
                                  <a:pt x="146" y="312"/>
                                </a:lnTo>
                                <a:lnTo>
                                  <a:pt x="146" y="366"/>
                                </a:lnTo>
                                <a:lnTo>
                                  <a:pt x="147" y="368"/>
                                </a:lnTo>
                                <a:lnTo>
                                  <a:pt x="152" y="368"/>
                                </a:lnTo>
                                <a:lnTo>
                                  <a:pt x="154" y="366"/>
                                </a:lnTo>
                                <a:lnTo>
                                  <a:pt x="154" y="312"/>
                                </a:lnTo>
                                <a:close/>
                                <a:moveTo>
                                  <a:pt x="154" y="159"/>
                                </a:moveTo>
                                <a:lnTo>
                                  <a:pt x="152" y="157"/>
                                </a:lnTo>
                                <a:lnTo>
                                  <a:pt x="150" y="157"/>
                                </a:lnTo>
                                <a:lnTo>
                                  <a:pt x="147" y="157"/>
                                </a:lnTo>
                                <a:lnTo>
                                  <a:pt x="146" y="159"/>
                                </a:lnTo>
                                <a:lnTo>
                                  <a:pt x="146" y="235"/>
                                </a:lnTo>
                                <a:lnTo>
                                  <a:pt x="147" y="237"/>
                                </a:lnTo>
                                <a:lnTo>
                                  <a:pt x="152" y="237"/>
                                </a:lnTo>
                                <a:lnTo>
                                  <a:pt x="154" y="235"/>
                                </a:lnTo>
                                <a:lnTo>
                                  <a:pt x="154" y="159"/>
                                </a:lnTo>
                                <a:close/>
                                <a:moveTo>
                                  <a:pt x="154" y="27"/>
                                </a:moveTo>
                                <a:lnTo>
                                  <a:pt x="152" y="25"/>
                                </a:lnTo>
                                <a:lnTo>
                                  <a:pt x="150" y="25"/>
                                </a:lnTo>
                                <a:lnTo>
                                  <a:pt x="147" y="25"/>
                                </a:lnTo>
                                <a:lnTo>
                                  <a:pt x="146" y="27"/>
                                </a:lnTo>
                                <a:lnTo>
                                  <a:pt x="146" y="81"/>
                                </a:lnTo>
                                <a:lnTo>
                                  <a:pt x="147" y="82"/>
                                </a:lnTo>
                                <a:lnTo>
                                  <a:pt x="152" y="82"/>
                                </a:lnTo>
                                <a:lnTo>
                                  <a:pt x="154" y="81"/>
                                </a:lnTo>
                                <a:lnTo>
                                  <a:pt x="154" y="27"/>
                                </a:lnTo>
                                <a:close/>
                                <a:moveTo>
                                  <a:pt x="174" y="666"/>
                                </a:moveTo>
                                <a:lnTo>
                                  <a:pt x="173" y="664"/>
                                </a:lnTo>
                                <a:lnTo>
                                  <a:pt x="170" y="664"/>
                                </a:lnTo>
                                <a:lnTo>
                                  <a:pt x="168" y="664"/>
                                </a:lnTo>
                                <a:lnTo>
                                  <a:pt x="166" y="666"/>
                                </a:lnTo>
                                <a:lnTo>
                                  <a:pt x="166" y="724"/>
                                </a:lnTo>
                                <a:lnTo>
                                  <a:pt x="168" y="726"/>
                                </a:lnTo>
                                <a:lnTo>
                                  <a:pt x="173" y="726"/>
                                </a:lnTo>
                                <a:lnTo>
                                  <a:pt x="174" y="724"/>
                                </a:lnTo>
                                <a:lnTo>
                                  <a:pt x="174" y="666"/>
                                </a:lnTo>
                                <a:close/>
                                <a:moveTo>
                                  <a:pt x="174" y="554"/>
                                </a:moveTo>
                                <a:lnTo>
                                  <a:pt x="173" y="552"/>
                                </a:lnTo>
                                <a:lnTo>
                                  <a:pt x="170" y="552"/>
                                </a:lnTo>
                                <a:lnTo>
                                  <a:pt x="168" y="552"/>
                                </a:lnTo>
                                <a:lnTo>
                                  <a:pt x="166" y="554"/>
                                </a:lnTo>
                                <a:lnTo>
                                  <a:pt x="166" y="629"/>
                                </a:lnTo>
                                <a:lnTo>
                                  <a:pt x="168" y="631"/>
                                </a:lnTo>
                                <a:lnTo>
                                  <a:pt x="173" y="631"/>
                                </a:lnTo>
                                <a:lnTo>
                                  <a:pt x="174" y="629"/>
                                </a:lnTo>
                                <a:lnTo>
                                  <a:pt x="174" y="554"/>
                                </a:lnTo>
                                <a:close/>
                                <a:moveTo>
                                  <a:pt x="174" y="407"/>
                                </a:moveTo>
                                <a:lnTo>
                                  <a:pt x="173" y="405"/>
                                </a:lnTo>
                                <a:lnTo>
                                  <a:pt x="170" y="405"/>
                                </a:lnTo>
                                <a:lnTo>
                                  <a:pt x="168" y="405"/>
                                </a:lnTo>
                                <a:lnTo>
                                  <a:pt x="166" y="407"/>
                                </a:lnTo>
                                <a:lnTo>
                                  <a:pt x="166" y="464"/>
                                </a:lnTo>
                                <a:lnTo>
                                  <a:pt x="168" y="466"/>
                                </a:lnTo>
                                <a:lnTo>
                                  <a:pt x="173" y="466"/>
                                </a:lnTo>
                                <a:lnTo>
                                  <a:pt x="174" y="464"/>
                                </a:lnTo>
                                <a:lnTo>
                                  <a:pt x="174" y="407"/>
                                </a:lnTo>
                                <a:close/>
                                <a:moveTo>
                                  <a:pt x="174" y="297"/>
                                </a:moveTo>
                                <a:lnTo>
                                  <a:pt x="173" y="295"/>
                                </a:lnTo>
                                <a:lnTo>
                                  <a:pt x="170" y="295"/>
                                </a:lnTo>
                                <a:lnTo>
                                  <a:pt x="168" y="295"/>
                                </a:lnTo>
                                <a:lnTo>
                                  <a:pt x="166" y="297"/>
                                </a:lnTo>
                                <a:lnTo>
                                  <a:pt x="166" y="355"/>
                                </a:lnTo>
                                <a:lnTo>
                                  <a:pt x="168" y="357"/>
                                </a:lnTo>
                                <a:lnTo>
                                  <a:pt x="173" y="357"/>
                                </a:lnTo>
                                <a:lnTo>
                                  <a:pt x="174" y="355"/>
                                </a:lnTo>
                                <a:lnTo>
                                  <a:pt x="174" y="297"/>
                                </a:lnTo>
                                <a:close/>
                                <a:moveTo>
                                  <a:pt x="174" y="185"/>
                                </a:moveTo>
                                <a:lnTo>
                                  <a:pt x="173" y="183"/>
                                </a:lnTo>
                                <a:lnTo>
                                  <a:pt x="170" y="183"/>
                                </a:lnTo>
                                <a:lnTo>
                                  <a:pt x="168" y="183"/>
                                </a:lnTo>
                                <a:lnTo>
                                  <a:pt x="166" y="185"/>
                                </a:lnTo>
                                <a:lnTo>
                                  <a:pt x="166" y="260"/>
                                </a:lnTo>
                                <a:lnTo>
                                  <a:pt x="168" y="261"/>
                                </a:lnTo>
                                <a:lnTo>
                                  <a:pt x="173" y="261"/>
                                </a:lnTo>
                                <a:lnTo>
                                  <a:pt x="174" y="260"/>
                                </a:lnTo>
                                <a:lnTo>
                                  <a:pt x="174" y="185"/>
                                </a:lnTo>
                                <a:close/>
                                <a:moveTo>
                                  <a:pt x="174" y="38"/>
                                </a:moveTo>
                                <a:lnTo>
                                  <a:pt x="173" y="36"/>
                                </a:lnTo>
                                <a:lnTo>
                                  <a:pt x="170" y="36"/>
                                </a:lnTo>
                                <a:lnTo>
                                  <a:pt x="168" y="36"/>
                                </a:lnTo>
                                <a:lnTo>
                                  <a:pt x="166" y="38"/>
                                </a:lnTo>
                                <a:lnTo>
                                  <a:pt x="166" y="96"/>
                                </a:lnTo>
                                <a:lnTo>
                                  <a:pt x="168" y="98"/>
                                </a:lnTo>
                                <a:lnTo>
                                  <a:pt x="173" y="98"/>
                                </a:lnTo>
                                <a:lnTo>
                                  <a:pt x="174" y="96"/>
                                </a:lnTo>
                                <a:lnTo>
                                  <a:pt x="174" y="38"/>
                                </a:lnTo>
                                <a:close/>
                                <a:moveTo>
                                  <a:pt x="195" y="579"/>
                                </a:moveTo>
                                <a:lnTo>
                                  <a:pt x="193" y="578"/>
                                </a:lnTo>
                                <a:lnTo>
                                  <a:pt x="191" y="578"/>
                                </a:lnTo>
                                <a:lnTo>
                                  <a:pt x="189" y="578"/>
                                </a:lnTo>
                                <a:lnTo>
                                  <a:pt x="187" y="579"/>
                                </a:lnTo>
                                <a:lnTo>
                                  <a:pt x="187" y="709"/>
                                </a:lnTo>
                                <a:lnTo>
                                  <a:pt x="189" y="711"/>
                                </a:lnTo>
                                <a:lnTo>
                                  <a:pt x="193" y="711"/>
                                </a:lnTo>
                                <a:lnTo>
                                  <a:pt x="195" y="709"/>
                                </a:lnTo>
                                <a:lnTo>
                                  <a:pt x="195" y="579"/>
                                </a:lnTo>
                                <a:close/>
                                <a:moveTo>
                                  <a:pt x="195" y="422"/>
                                </a:moveTo>
                                <a:lnTo>
                                  <a:pt x="193" y="420"/>
                                </a:lnTo>
                                <a:lnTo>
                                  <a:pt x="191" y="420"/>
                                </a:lnTo>
                                <a:lnTo>
                                  <a:pt x="189" y="420"/>
                                </a:lnTo>
                                <a:lnTo>
                                  <a:pt x="187" y="422"/>
                                </a:lnTo>
                                <a:lnTo>
                                  <a:pt x="187" y="484"/>
                                </a:lnTo>
                                <a:lnTo>
                                  <a:pt x="189" y="486"/>
                                </a:lnTo>
                                <a:lnTo>
                                  <a:pt x="193" y="486"/>
                                </a:lnTo>
                                <a:lnTo>
                                  <a:pt x="195" y="484"/>
                                </a:lnTo>
                                <a:lnTo>
                                  <a:pt x="195" y="422"/>
                                </a:lnTo>
                                <a:close/>
                                <a:moveTo>
                                  <a:pt x="195" y="212"/>
                                </a:moveTo>
                                <a:lnTo>
                                  <a:pt x="193" y="210"/>
                                </a:lnTo>
                                <a:lnTo>
                                  <a:pt x="191" y="210"/>
                                </a:lnTo>
                                <a:lnTo>
                                  <a:pt x="189" y="210"/>
                                </a:lnTo>
                                <a:lnTo>
                                  <a:pt x="187" y="212"/>
                                </a:lnTo>
                                <a:lnTo>
                                  <a:pt x="187" y="340"/>
                                </a:lnTo>
                                <a:lnTo>
                                  <a:pt x="189" y="342"/>
                                </a:lnTo>
                                <a:lnTo>
                                  <a:pt x="193" y="342"/>
                                </a:lnTo>
                                <a:lnTo>
                                  <a:pt x="195" y="340"/>
                                </a:lnTo>
                                <a:lnTo>
                                  <a:pt x="195" y="212"/>
                                </a:lnTo>
                                <a:close/>
                                <a:moveTo>
                                  <a:pt x="195" y="53"/>
                                </a:moveTo>
                                <a:lnTo>
                                  <a:pt x="193" y="51"/>
                                </a:lnTo>
                                <a:lnTo>
                                  <a:pt x="191" y="51"/>
                                </a:lnTo>
                                <a:lnTo>
                                  <a:pt x="189" y="51"/>
                                </a:lnTo>
                                <a:lnTo>
                                  <a:pt x="187" y="53"/>
                                </a:lnTo>
                                <a:lnTo>
                                  <a:pt x="187" y="115"/>
                                </a:lnTo>
                                <a:lnTo>
                                  <a:pt x="189" y="116"/>
                                </a:lnTo>
                                <a:lnTo>
                                  <a:pt x="193" y="116"/>
                                </a:lnTo>
                                <a:lnTo>
                                  <a:pt x="195" y="115"/>
                                </a:lnTo>
                                <a:lnTo>
                                  <a:pt x="195" y="53"/>
                                </a:lnTo>
                                <a:close/>
                                <a:moveTo>
                                  <a:pt x="216" y="607"/>
                                </a:moveTo>
                                <a:lnTo>
                                  <a:pt x="214" y="605"/>
                                </a:lnTo>
                                <a:lnTo>
                                  <a:pt x="212" y="605"/>
                                </a:lnTo>
                                <a:lnTo>
                                  <a:pt x="210" y="605"/>
                                </a:lnTo>
                                <a:lnTo>
                                  <a:pt x="208" y="607"/>
                                </a:lnTo>
                                <a:lnTo>
                                  <a:pt x="208" y="691"/>
                                </a:lnTo>
                                <a:lnTo>
                                  <a:pt x="210" y="693"/>
                                </a:lnTo>
                                <a:lnTo>
                                  <a:pt x="214" y="693"/>
                                </a:lnTo>
                                <a:lnTo>
                                  <a:pt x="216" y="691"/>
                                </a:lnTo>
                                <a:lnTo>
                                  <a:pt x="216" y="607"/>
                                </a:lnTo>
                                <a:close/>
                                <a:moveTo>
                                  <a:pt x="216" y="440"/>
                                </a:moveTo>
                                <a:lnTo>
                                  <a:pt x="214" y="439"/>
                                </a:lnTo>
                                <a:lnTo>
                                  <a:pt x="212" y="439"/>
                                </a:lnTo>
                                <a:lnTo>
                                  <a:pt x="210" y="439"/>
                                </a:lnTo>
                                <a:lnTo>
                                  <a:pt x="208" y="440"/>
                                </a:lnTo>
                                <a:lnTo>
                                  <a:pt x="208" y="506"/>
                                </a:lnTo>
                                <a:lnTo>
                                  <a:pt x="210" y="508"/>
                                </a:lnTo>
                                <a:lnTo>
                                  <a:pt x="214" y="508"/>
                                </a:lnTo>
                                <a:lnTo>
                                  <a:pt x="216" y="506"/>
                                </a:lnTo>
                                <a:lnTo>
                                  <a:pt x="216" y="440"/>
                                </a:lnTo>
                                <a:close/>
                                <a:moveTo>
                                  <a:pt x="216" y="237"/>
                                </a:moveTo>
                                <a:lnTo>
                                  <a:pt x="214" y="236"/>
                                </a:lnTo>
                                <a:lnTo>
                                  <a:pt x="212" y="236"/>
                                </a:lnTo>
                                <a:lnTo>
                                  <a:pt x="210" y="236"/>
                                </a:lnTo>
                                <a:lnTo>
                                  <a:pt x="208" y="237"/>
                                </a:lnTo>
                                <a:lnTo>
                                  <a:pt x="208" y="321"/>
                                </a:lnTo>
                                <a:lnTo>
                                  <a:pt x="210" y="323"/>
                                </a:lnTo>
                                <a:lnTo>
                                  <a:pt x="214" y="323"/>
                                </a:lnTo>
                                <a:lnTo>
                                  <a:pt x="216" y="321"/>
                                </a:lnTo>
                                <a:lnTo>
                                  <a:pt x="216" y="237"/>
                                </a:lnTo>
                                <a:close/>
                                <a:moveTo>
                                  <a:pt x="216" y="70"/>
                                </a:moveTo>
                                <a:lnTo>
                                  <a:pt x="214" y="68"/>
                                </a:lnTo>
                                <a:lnTo>
                                  <a:pt x="212" y="68"/>
                                </a:lnTo>
                                <a:lnTo>
                                  <a:pt x="210" y="68"/>
                                </a:lnTo>
                                <a:lnTo>
                                  <a:pt x="208" y="70"/>
                                </a:lnTo>
                                <a:lnTo>
                                  <a:pt x="208" y="137"/>
                                </a:lnTo>
                                <a:lnTo>
                                  <a:pt x="210" y="139"/>
                                </a:lnTo>
                                <a:lnTo>
                                  <a:pt x="214" y="139"/>
                                </a:lnTo>
                                <a:lnTo>
                                  <a:pt x="216" y="137"/>
                                </a:lnTo>
                                <a:lnTo>
                                  <a:pt x="216" y="70"/>
                                </a:lnTo>
                                <a:close/>
                                <a:moveTo>
                                  <a:pt x="237" y="633"/>
                                </a:moveTo>
                                <a:lnTo>
                                  <a:pt x="235" y="631"/>
                                </a:lnTo>
                                <a:lnTo>
                                  <a:pt x="233" y="631"/>
                                </a:lnTo>
                                <a:lnTo>
                                  <a:pt x="231" y="631"/>
                                </a:lnTo>
                                <a:lnTo>
                                  <a:pt x="229" y="633"/>
                                </a:lnTo>
                                <a:lnTo>
                                  <a:pt x="229" y="699"/>
                                </a:lnTo>
                                <a:lnTo>
                                  <a:pt x="231" y="700"/>
                                </a:lnTo>
                                <a:lnTo>
                                  <a:pt x="235" y="700"/>
                                </a:lnTo>
                                <a:lnTo>
                                  <a:pt x="237" y="699"/>
                                </a:lnTo>
                                <a:lnTo>
                                  <a:pt x="237" y="633"/>
                                </a:lnTo>
                                <a:close/>
                                <a:moveTo>
                                  <a:pt x="237" y="461"/>
                                </a:moveTo>
                                <a:lnTo>
                                  <a:pt x="235" y="459"/>
                                </a:lnTo>
                                <a:lnTo>
                                  <a:pt x="233" y="459"/>
                                </a:lnTo>
                                <a:lnTo>
                                  <a:pt x="231" y="459"/>
                                </a:lnTo>
                                <a:lnTo>
                                  <a:pt x="229" y="461"/>
                                </a:lnTo>
                                <a:lnTo>
                                  <a:pt x="229" y="532"/>
                                </a:lnTo>
                                <a:lnTo>
                                  <a:pt x="231" y="534"/>
                                </a:lnTo>
                                <a:lnTo>
                                  <a:pt x="235" y="534"/>
                                </a:lnTo>
                                <a:lnTo>
                                  <a:pt x="237" y="532"/>
                                </a:lnTo>
                                <a:lnTo>
                                  <a:pt x="237" y="461"/>
                                </a:lnTo>
                                <a:close/>
                                <a:moveTo>
                                  <a:pt x="237" y="263"/>
                                </a:moveTo>
                                <a:lnTo>
                                  <a:pt x="235" y="262"/>
                                </a:lnTo>
                                <a:lnTo>
                                  <a:pt x="233" y="262"/>
                                </a:lnTo>
                                <a:lnTo>
                                  <a:pt x="231" y="262"/>
                                </a:lnTo>
                                <a:lnTo>
                                  <a:pt x="229" y="263"/>
                                </a:lnTo>
                                <a:lnTo>
                                  <a:pt x="229" y="329"/>
                                </a:lnTo>
                                <a:lnTo>
                                  <a:pt x="231" y="330"/>
                                </a:lnTo>
                                <a:lnTo>
                                  <a:pt x="235" y="330"/>
                                </a:lnTo>
                                <a:lnTo>
                                  <a:pt x="237" y="329"/>
                                </a:lnTo>
                                <a:lnTo>
                                  <a:pt x="237" y="263"/>
                                </a:lnTo>
                                <a:close/>
                                <a:moveTo>
                                  <a:pt x="237" y="91"/>
                                </a:moveTo>
                                <a:lnTo>
                                  <a:pt x="235" y="89"/>
                                </a:lnTo>
                                <a:lnTo>
                                  <a:pt x="233" y="89"/>
                                </a:lnTo>
                                <a:lnTo>
                                  <a:pt x="231" y="89"/>
                                </a:lnTo>
                                <a:lnTo>
                                  <a:pt x="229" y="91"/>
                                </a:lnTo>
                                <a:lnTo>
                                  <a:pt x="229" y="164"/>
                                </a:lnTo>
                                <a:lnTo>
                                  <a:pt x="231" y="165"/>
                                </a:lnTo>
                                <a:lnTo>
                                  <a:pt x="235" y="165"/>
                                </a:lnTo>
                                <a:lnTo>
                                  <a:pt x="237" y="164"/>
                                </a:lnTo>
                                <a:lnTo>
                                  <a:pt x="237" y="91"/>
                                </a:lnTo>
                                <a:close/>
                                <a:moveTo>
                                  <a:pt x="257" y="654"/>
                                </a:moveTo>
                                <a:lnTo>
                                  <a:pt x="256" y="652"/>
                                </a:lnTo>
                                <a:lnTo>
                                  <a:pt x="254" y="652"/>
                                </a:lnTo>
                                <a:lnTo>
                                  <a:pt x="251" y="652"/>
                                </a:lnTo>
                                <a:lnTo>
                                  <a:pt x="250" y="654"/>
                                </a:lnTo>
                                <a:lnTo>
                                  <a:pt x="250" y="715"/>
                                </a:lnTo>
                                <a:lnTo>
                                  <a:pt x="251" y="717"/>
                                </a:lnTo>
                                <a:lnTo>
                                  <a:pt x="256" y="717"/>
                                </a:lnTo>
                                <a:lnTo>
                                  <a:pt x="257" y="715"/>
                                </a:lnTo>
                                <a:lnTo>
                                  <a:pt x="257" y="654"/>
                                </a:lnTo>
                                <a:close/>
                                <a:moveTo>
                                  <a:pt x="257" y="482"/>
                                </a:moveTo>
                                <a:lnTo>
                                  <a:pt x="256" y="481"/>
                                </a:lnTo>
                                <a:lnTo>
                                  <a:pt x="254" y="481"/>
                                </a:lnTo>
                                <a:lnTo>
                                  <a:pt x="251" y="481"/>
                                </a:lnTo>
                                <a:lnTo>
                                  <a:pt x="250" y="482"/>
                                </a:lnTo>
                                <a:lnTo>
                                  <a:pt x="250" y="560"/>
                                </a:lnTo>
                                <a:lnTo>
                                  <a:pt x="251" y="562"/>
                                </a:lnTo>
                                <a:lnTo>
                                  <a:pt x="256" y="562"/>
                                </a:lnTo>
                                <a:lnTo>
                                  <a:pt x="257" y="560"/>
                                </a:lnTo>
                                <a:lnTo>
                                  <a:pt x="257" y="482"/>
                                </a:lnTo>
                                <a:close/>
                                <a:moveTo>
                                  <a:pt x="257" y="414"/>
                                </a:moveTo>
                                <a:lnTo>
                                  <a:pt x="256" y="412"/>
                                </a:lnTo>
                                <a:lnTo>
                                  <a:pt x="254" y="412"/>
                                </a:lnTo>
                                <a:lnTo>
                                  <a:pt x="251" y="412"/>
                                </a:lnTo>
                                <a:lnTo>
                                  <a:pt x="250" y="414"/>
                                </a:lnTo>
                                <a:lnTo>
                                  <a:pt x="250" y="434"/>
                                </a:lnTo>
                                <a:lnTo>
                                  <a:pt x="251" y="436"/>
                                </a:lnTo>
                                <a:lnTo>
                                  <a:pt x="256" y="436"/>
                                </a:lnTo>
                                <a:lnTo>
                                  <a:pt x="257" y="434"/>
                                </a:lnTo>
                                <a:lnTo>
                                  <a:pt x="257" y="414"/>
                                </a:lnTo>
                                <a:close/>
                                <a:moveTo>
                                  <a:pt x="257" y="285"/>
                                </a:moveTo>
                                <a:lnTo>
                                  <a:pt x="256" y="283"/>
                                </a:lnTo>
                                <a:lnTo>
                                  <a:pt x="254" y="283"/>
                                </a:lnTo>
                                <a:lnTo>
                                  <a:pt x="251" y="283"/>
                                </a:lnTo>
                                <a:lnTo>
                                  <a:pt x="250" y="285"/>
                                </a:lnTo>
                                <a:lnTo>
                                  <a:pt x="250" y="346"/>
                                </a:lnTo>
                                <a:lnTo>
                                  <a:pt x="251" y="348"/>
                                </a:lnTo>
                                <a:lnTo>
                                  <a:pt x="256" y="348"/>
                                </a:lnTo>
                                <a:lnTo>
                                  <a:pt x="257" y="346"/>
                                </a:lnTo>
                                <a:lnTo>
                                  <a:pt x="257" y="285"/>
                                </a:lnTo>
                                <a:close/>
                                <a:moveTo>
                                  <a:pt x="257" y="115"/>
                                </a:moveTo>
                                <a:lnTo>
                                  <a:pt x="256" y="114"/>
                                </a:lnTo>
                                <a:lnTo>
                                  <a:pt x="254" y="114"/>
                                </a:lnTo>
                                <a:lnTo>
                                  <a:pt x="251" y="114"/>
                                </a:lnTo>
                                <a:lnTo>
                                  <a:pt x="250" y="115"/>
                                </a:lnTo>
                                <a:lnTo>
                                  <a:pt x="250" y="193"/>
                                </a:lnTo>
                                <a:lnTo>
                                  <a:pt x="251" y="195"/>
                                </a:lnTo>
                                <a:lnTo>
                                  <a:pt x="256" y="195"/>
                                </a:lnTo>
                                <a:lnTo>
                                  <a:pt x="257" y="193"/>
                                </a:lnTo>
                                <a:lnTo>
                                  <a:pt x="257" y="115"/>
                                </a:lnTo>
                                <a:close/>
                                <a:moveTo>
                                  <a:pt x="257" y="46"/>
                                </a:moveTo>
                                <a:lnTo>
                                  <a:pt x="256" y="44"/>
                                </a:lnTo>
                                <a:lnTo>
                                  <a:pt x="254" y="44"/>
                                </a:lnTo>
                                <a:lnTo>
                                  <a:pt x="251" y="44"/>
                                </a:lnTo>
                                <a:lnTo>
                                  <a:pt x="250" y="46"/>
                                </a:lnTo>
                                <a:lnTo>
                                  <a:pt x="250" y="68"/>
                                </a:lnTo>
                                <a:lnTo>
                                  <a:pt x="251" y="69"/>
                                </a:lnTo>
                                <a:lnTo>
                                  <a:pt x="256" y="69"/>
                                </a:lnTo>
                                <a:lnTo>
                                  <a:pt x="257" y="68"/>
                                </a:lnTo>
                                <a:lnTo>
                                  <a:pt x="257" y="46"/>
                                </a:lnTo>
                                <a:close/>
                              </a:path>
                            </a:pathLst>
                          </a:custGeom>
                          <a:solidFill>
                            <a:srgbClr val="A9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docshape1853"/>
                        <wps:cNvSpPr>
                          <a:spLocks/>
                        </wps:cNvSpPr>
                        <wps:spPr bwMode="auto">
                          <a:xfrm>
                            <a:off x="1" y="15361"/>
                            <a:ext cx="71" cy="752"/>
                          </a:xfrm>
                          <a:custGeom>
                            <a:avLst/>
                            <a:gdLst>
                              <a:gd name="T0" fmla="+- 0 4 2"/>
                              <a:gd name="T1" fmla="*/ T0 w 71"/>
                              <a:gd name="T2" fmla="+- 0 16052 15362"/>
                              <a:gd name="T3" fmla="*/ 16052 h 752"/>
                              <a:gd name="T4" fmla="+- 0 8 2"/>
                              <a:gd name="T5" fmla="*/ T4 w 71"/>
                              <a:gd name="T6" fmla="+- 0 16108 15362"/>
                              <a:gd name="T7" fmla="*/ 16108 h 752"/>
                              <a:gd name="T8" fmla="+- 0 8 2"/>
                              <a:gd name="T9" fmla="*/ T8 w 71"/>
                              <a:gd name="T10" fmla="+- 0 15918 15362"/>
                              <a:gd name="T11" fmla="*/ 15918 h 752"/>
                              <a:gd name="T12" fmla="+- 0 2 2"/>
                              <a:gd name="T13" fmla="*/ T12 w 71"/>
                              <a:gd name="T14" fmla="+- 0 15984 15362"/>
                              <a:gd name="T15" fmla="*/ 15984 h 752"/>
                              <a:gd name="T16" fmla="+- 0 10 2"/>
                              <a:gd name="T17" fmla="*/ T16 w 71"/>
                              <a:gd name="T18" fmla="+- 0 15920 15362"/>
                              <a:gd name="T19" fmla="*/ 15920 h 752"/>
                              <a:gd name="T20" fmla="+- 0 4 2"/>
                              <a:gd name="T21" fmla="*/ T20 w 71"/>
                              <a:gd name="T22" fmla="+- 0 15743 15362"/>
                              <a:gd name="T23" fmla="*/ 15743 h 752"/>
                              <a:gd name="T24" fmla="+- 0 8 2"/>
                              <a:gd name="T25" fmla="*/ T24 w 71"/>
                              <a:gd name="T26" fmla="+- 0 15794 15362"/>
                              <a:gd name="T27" fmla="*/ 15794 h 752"/>
                              <a:gd name="T28" fmla="+- 0 8 2"/>
                              <a:gd name="T29" fmla="*/ T28 w 71"/>
                              <a:gd name="T30" fmla="+- 0 15683 15362"/>
                              <a:gd name="T31" fmla="*/ 15683 h 752"/>
                              <a:gd name="T32" fmla="+- 0 2 2"/>
                              <a:gd name="T33" fmla="*/ T32 w 71"/>
                              <a:gd name="T34" fmla="+- 0 15733 15362"/>
                              <a:gd name="T35" fmla="*/ 15733 h 752"/>
                              <a:gd name="T36" fmla="+- 0 10 2"/>
                              <a:gd name="T37" fmla="*/ T36 w 71"/>
                              <a:gd name="T38" fmla="+- 0 15685 15362"/>
                              <a:gd name="T39" fmla="*/ 15685 h 752"/>
                              <a:gd name="T40" fmla="+- 0 4 2"/>
                              <a:gd name="T41" fmla="*/ T40 w 71"/>
                              <a:gd name="T42" fmla="+- 0 15549 15362"/>
                              <a:gd name="T43" fmla="*/ 15549 h 752"/>
                              <a:gd name="T44" fmla="+- 0 8 2"/>
                              <a:gd name="T45" fmla="*/ T44 w 71"/>
                              <a:gd name="T46" fmla="+- 0 15617 15362"/>
                              <a:gd name="T47" fmla="*/ 15617 h 752"/>
                              <a:gd name="T48" fmla="+- 0 8 2"/>
                              <a:gd name="T49" fmla="*/ T48 w 71"/>
                              <a:gd name="T50" fmla="+- 0 15371 15362"/>
                              <a:gd name="T51" fmla="*/ 15371 h 752"/>
                              <a:gd name="T52" fmla="+- 0 2 2"/>
                              <a:gd name="T53" fmla="*/ T52 w 71"/>
                              <a:gd name="T54" fmla="+- 0 15423 15362"/>
                              <a:gd name="T55" fmla="*/ 15423 h 752"/>
                              <a:gd name="T56" fmla="+- 0 10 2"/>
                              <a:gd name="T57" fmla="*/ T56 w 71"/>
                              <a:gd name="T58" fmla="+- 0 15373 15362"/>
                              <a:gd name="T59" fmla="*/ 15373 h 752"/>
                              <a:gd name="T60" fmla="+- 0 24 2"/>
                              <a:gd name="T61" fmla="*/ T60 w 71"/>
                              <a:gd name="T62" fmla="+- 0 16060 15362"/>
                              <a:gd name="T63" fmla="*/ 16060 h 752"/>
                              <a:gd name="T64" fmla="+- 0 29 2"/>
                              <a:gd name="T65" fmla="*/ T64 w 71"/>
                              <a:gd name="T66" fmla="+- 0 16114 15362"/>
                              <a:gd name="T67" fmla="*/ 16114 h 752"/>
                              <a:gd name="T68" fmla="+- 0 29 2"/>
                              <a:gd name="T69" fmla="*/ T68 w 71"/>
                              <a:gd name="T70" fmla="+- 0 15939 15362"/>
                              <a:gd name="T71" fmla="*/ 15939 h 752"/>
                              <a:gd name="T72" fmla="+- 0 23 2"/>
                              <a:gd name="T73" fmla="*/ T72 w 71"/>
                              <a:gd name="T74" fmla="+- 0 15996 15362"/>
                              <a:gd name="T75" fmla="*/ 15996 h 752"/>
                              <a:gd name="T76" fmla="+- 0 30 2"/>
                              <a:gd name="T77" fmla="*/ T76 w 71"/>
                              <a:gd name="T78" fmla="+- 0 15941 15362"/>
                              <a:gd name="T79" fmla="*/ 15941 h 752"/>
                              <a:gd name="T80" fmla="+- 0 24 2"/>
                              <a:gd name="T81" fmla="*/ T80 w 71"/>
                              <a:gd name="T82" fmla="+- 0 15848 15362"/>
                              <a:gd name="T83" fmla="*/ 15848 h 752"/>
                              <a:gd name="T84" fmla="+- 0 29 2"/>
                              <a:gd name="T85" fmla="*/ T84 w 71"/>
                              <a:gd name="T86" fmla="+- 0 15885 15362"/>
                              <a:gd name="T87" fmla="*/ 15885 h 752"/>
                              <a:gd name="T88" fmla="+- 0 29 2"/>
                              <a:gd name="T89" fmla="*/ T88 w 71"/>
                              <a:gd name="T90" fmla="+- 0 15691 15362"/>
                              <a:gd name="T91" fmla="*/ 15691 h 752"/>
                              <a:gd name="T92" fmla="+- 0 23 2"/>
                              <a:gd name="T93" fmla="*/ T92 w 71"/>
                              <a:gd name="T94" fmla="+- 0 15785 15362"/>
                              <a:gd name="T95" fmla="*/ 15785 h 752"/>
                              <a:gd name="T96" fmla="+- 0 30 2"/>
                              <a:gd name="T97" fmla="*/ T96 w 71"/>
                              <a:gd name="T98" fmla="+- 0 15693 15362"/>
                              <a:gd name="T99" fmla="*/ 15693 h 752"/>
                              <a:gd name="T100" fmla="+- 0 24 2"/>
                              <a:gd name="T101" fmla="*/ T100 w 71"/>
                              <a:gd name="T102" fmla="+- 0 15570 15362"/>
                              <a:gd name="T103" fmla="*/ 15570 h 752"/>
                              <a:gd name="T104" fmla="+- 0 29 2"/>
                              <a:gd name="T105" fmla="*/ T104 w 71"/>
                              <a:gd name="T106" fmla="+- 0 15629 15362"/>
                              <a:gd name="T107" fmla="*/ 15629 h 752"/>
                              <a:gd name="T108" fmla="+- 0 29 2"/>
                              <a:gd name="T109" fmla="*/ T108 w 71"/>
                              <a:gd name="T110" fmla="+- 0 15479 15362"/>
                              <a:gd name="T111" fmla="*/ 15479 h 752"/>
                              <a:gd name="T112" fmla="+- 0 23 2"/>
                              <a:gd name="T113" fmla="*/ T112 w 71"/>
                              <a:gd name="T114" fmla="+- 0 15516 15362"/>
                              <a:gd name="T115" fmla="*/ 15516 h 752"/>
                              <a:gd name="T116" fmla="+- 0 30 2"/>
                              <a:gd name="T117" fmla="*/ T116 w 71"/>
                              <a:gd name="T118" fmla="+- 0 15481 15362"/>
                              <a:gd name="T119" fmla="*/ 15481 h 752"/>
                              <a:gd name="T120" fmla="+- 0 24 2"/>
                              <a:gd name="T121" fmla="*/ T120 w 71"/>
                              <a:gd name="T122" fmla="+- 0 15365 15362"/>
                              <a:gd name="T123" fmla="*/ 15365 h 752"/>
                              <a:gd name="T124" fmla="+- 0 29 2"/>
                              <a:gd name="T125" fmla="*/ T124 w 71"/>
                              <a:gd name="T126" fmla="+- 0 15418 15362"/>
                              <a:gd name="T127" fmla="*/ 15418 h 752"/>
                              <a:gd name="T128" fmla="+- 0 49 2"/>
                              <a:gd name="T129" fmla="*/ T128 w 71"/>
                              <a:gd name="T130" fmla="+- 0 15952 15362"/>
                              <a:gd name="T131" fmla="*/ 15952 h 752"/>
                              <a:gd name="T132" fmla="+- 0 43 2"/>
                              <a:gd name="T133" fmla="*/ T132 w 71"/>
                              <a:gd name="T134" fmla="+- 0 16006 15362"/>
                              <a:gd name="T135" fmla="*/ 16006 h 752"/>
                              <a:gd name="T136" fmla="+- 0 51 2"/>
                              <a:gd name="T137" fmla="*/ T136 w 71"/>
                              <a:gd name="T138" fmla="+- 0 15954 15362"/>
                              <a:gd name="T139" fmla="*/ 15954 h 752"/>
                              <a:gd name="T140" fmla="+- 0 45 2"/>
                              <a:gd name="T141" fmla="*/ T140 w 71"/>
                              <a:gd name="T142" fmla="+- 0 15840 15362"/>
                              <a:gd name="T143" fmla="*/ 15840 h 752"/>
                              <a:gd name="T144" fmla="+- 0 49 2"/>
                              <a:gd name="T145" fmla="*/ T144 w 71"/>
                              <a:gd name="T146" fmla="+- 0 15893 15362"/>
                              <a:gd name="T147" fmla="*/ 15893 h 752"/>
                              <a:gd name="T148" fmla="+- 0 49 2"/>
                              <a:gd name="T149" fmla="*/ T148 w 71"/>
                              <a:gd name="T150" fmla="+- 0 15696 15362"/>
                              <a:gd name="T151" fmla="*/ 15696 h 752"/>
                              <a:gd name="T152" fmla="+- 0 43 2"/>
                              <a:gd name="T153" fmla="*/ T152 w 71"/>
                              <a:gd name="T154" fmla="+- 0 15780 15362"/>
                              <a:gd name="T155" fmla="*/ 15780 h 752"/>
                              <a:gd name="T156" fmla="+- 0 51 2"/>
                              <a:gd name="T157" fmla="*/ T156 w 71"/>
                              <a:gd name="T158" fmla="+- 0 15697 15362"/>
                              <a:gd name="T159" fmla="*/ 15697 h 752"/>
                              <a:gd name="T160" fmla="+- 0 45 2"/>
                              <a:gd name="T161" fmla="*/ T160 w 71"/>
                              <a:gd name="T162" fmla="+- 0 15584 15362"/>
                              <a:gd name="T163" fmla="*/ 15584 h 752"/>
                              <a:gd name="T164" fmla="+- 0 49 2"/>
                              <a:gd name="T165" fmla="*/ T164 w 71"/>
                              <a:gd name="T166" fmla="+- 0 15637 15362"/>
                              <a:gd name="T167" fmla="*/ 15637 h 752"/>
                              <a:gd name="T168" fmla="+- 0 49 2"/>
                              <a:gd name="T169" fmla="*/ T168 w 71"/>
                              <a:gd name="T170" fmla="+- 0 15470 15362"/>
                              <a:gd name="T171" fmla="*/ 15470 h 752"/>
                              <a:gd name="T172" fmla="+- 0 43 2"/>
                              <a:gd name="T173" fmla="*/ T172 w 71"/>
                              <a:gd name="T174" fmla="+- 0 15523 15362"/>
                              <a:gd name="T175" fmla="*/ 15523 h 752"/>
                              <a:gd name="T176" fmla="+- 0 51 2"/>
                              <a:gd name="T177" fmla="*/ T176 w 71"/>
                              <a:gd name="T178" fmla="+- 0 15472 15362"/>
                              <a:gd name="T179" fmla="*/ 15472 h 752"/>
                              <a:gd name="T180" fmla="+- 0 45 2"/>
                              <a:gd name="T181" fmla="*/ T180 w 71"/>
                              <a:gd name="T182" fmla="+- 0 15362 15362"/>
                              <a:gd name="T183" fmla="*/ 15362 h 752"/>
                              <a:gd name="T184" fmla="+- 0 49 2"/>
                              <a:gd name="T185" fmla="*/ T184 w 71"/>
                              <a:gd name="T186" fmla="+- 0 15412 15362"/>
                              <a:gd name="T187" fmla="*/ 15412 h 752"/>
                              <a:gd name="T188" fmla="+- 0 70 2"/>
                              <a:gd name="T189" fmla="*/ T188 w 71"/>
                              <a:gd name="T190" fmla="+- 0 15959 15362"/>
                              <a:gd name="T191" fmla="*/ 15959 h 752"/>
                              <a:gd name="T192" fmla="+- 0 64 2"/>
                              <a:gd name="T193" fmla="*/ T192 w 71"/>
                              <a:gd name="T194" fmla="+- 0 16009 15362"/>
                              <a:gd name="T195" fmla="*/ 16009 h 752"/>
                              <a:gd name="T196" fmla="+- 0 72 2"/>
                              <a:gd name="T197" fmla="*/ T196 w 71"/>
                              <a:gd name="T198" fmla="+- 0 15961 15362"/>
                              <a:gd name="T199" fmla="*/ 15961 h 752"/>
                              <a:gd name="T200" fmla="+- 0 66 2"/>
                              <a:gd name="T201" fmla="*/ T200 w 71"/>
                              <a:gd name="T202" fmla="+- 0 15835 15362"/>
                              <a:gd name="T203" fmla="*/ 15835 h 752"/>
                              <a:gd name="T204" fmla="+- 0 70 2"/>
                              <a:gd name="T205" fmla="*/ T204 w 71"/>
                              <a:gd name="T206" fmla="+- 0 15887 15362"/>
                              <a:gd name="T207" fmla="*/ 15887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1" h="752">
                                <a:moveTo>
                                  <a:pt x="8" y="692"/>
                                </a:moveTo>
                                <a:lnTo>
                                  <a:pt x="6" y="690"/>
                                </a:lnTo>
                                <a:lnTo>
                                  <a:pt x="4" y="690"/>
                                </a:lnTo>
                                <a:lnTo>
                                  <a:pt x="2" y="690"/>
                                </a:lnTo>
                                <a:lnTo>
                                  <a:pt x="0" y="692"/>
                                </a:lnTo>
                                <a:lnTo>
                                  <a:pt x="0" y="744"/>
                                </a:lnTo>
                                <a:lnTo>
                                  <a:pt x="2" y="746"/>
                                </a:lnTo>
                                <a:lnTo>
                                  <a:pt x="6" y="746"/>
                                </a:lnTo>
                                <a:lnTo>
                                  <a:pt x="8" y="744"/>
                                </a:lnTo>
                                <a:lnTo>
                                  <a:pt x="8" y="692"/>
                                </a:lnTo>
                                <a:close/>
                                <a:moveTo>
                                  <a:pt x="8" y="558"/>
                                </a:moveTo>
                                <a:lnTo>
                                  <a:pt x="6" y="556"/>
                                </a:lnTo>
                                <a:lnTo>
                                  <a:pt x="4" y="556"/>
                                </a:lnTo>
                                <a:lnTo>
                                  <a:pt x="2" y="556"/>
                                </a:lnTo>
                                <a:lnTo>
                                  <a:pt x="0" y="558"/>
                                </a:lnTo>
                                <a:lnTo>
                                  <a:pt x="0" y="622"/>
                                </a:lnTo>
                                <a:lnTo>
                                  <a:pt x="2" y="624"/>
                                </a:lnTo>
                                <a:lnTo>
                                  <a:pt x="6" y="624"/>
                                </a:lnTo>
                                <a:lnTo>
                                  <a:pt x="8" y="622"/>
                                </a:lnTo>
                                <a:lnTo>
                                  <a:pt x="8" y="558"/>
                                </a:lnTo>
                                <a:close/>
                                <a:moveTo>
                                  <a:pt x="8" y="382"/>
                                </a:moveTo>
                                <a:lnTo>
                                  <a:pt x="6" y="381"/>
                                </a:lnTo>
                                <a:lnTo>
                                  <a:pt x="4" y="381"/>
                                </a:lnTo>
                                <a:lnTo>
                                  <a:pt x="2" y="381"/>
                                </a:lnTo>
                                <a:lnTo>
                                  <a:pt x="0" y="382"/>
                                </a:lnTo>
                                <a:lnTo>
                                  <a:pt x="0" y="430"/>
                                </a:lnTo>
                                <a:lnTo>
                                  <a:pt x="2" y="432"/>
                                </a:lnTo>
                                <a:lnTo>
                                  <a:pt x="6" y="432"/>
                                </a:lnTo>
                                <a:lnTo>
                                  <a:pt x="8" y="430"/>
                                </a:lnTo>
                                <a:lnTo>
                                  <a:pt x="8" y="382"/>
                                </a:lnTo>
                                <a:close/>
                                <a:moveTo>
                                  <a:pt x="8" y="323"/>
                                </a:moveTo>
                                <a:lnTo>
                                  <a:pt x="6" y="321"/>
                                </a:lnTo>
                                <a:lnTo>
                                  <a:pt x="4" y="321"/>
                                </a:lnTo>
                                <a:lnTo>
                                  <a:pt x="2" y="321"/>
                                </a:lnTo>
                                <a:lnTo>
                                  <a:pt x="0" y="323"/>
                                </a:lnTo>
                                <a:lnTo>
                                  <a:pt x="0" y="371"/>
                                </a:lnTo>
                                <a:lnTo>
                                  <a:pt x="2" y="372"/>
                                </a:lnTo>
                                <a:lnTo>
                                  <a:pt x="6" y="372"/>
                                </a:lnTo>
                                <a:lnTo>
                                  <a:pt x="8" y="371"/>
                                </a:lnTo>
                                <a:lnTo>
                                  <a:pt x="8" y="323"/>
                                </a:lnTo>
                                <a:close/>
                                <a:moveTo>
                                  <a:pt x="8" y="189"/>
                                </a:moveTo>
                                <a:lnTo>
                                  <a:pt x="6" y="187"/>
                                </a:lnTo>
                                <a:lnTo>
                                  <a:pt x="4" y="187"/>
                                </a:lnTo>
                                <a:lnTo>
                                  <a:pt x="2" y="187"/>
                                </a:lnTo>
                                <a:lnTo>
                                  <a:pt x="0" y="189"/>
                                </a:lnTo>
                                <a:lnTo>
                                  <a:pt x="0" y="253"/>
                                </a:lnTo>
                                <a:lnTo>
                                  <a:pt x="2" y="255"/>
                                </a:lnTo>
                                <a:lnTo>
                                  <a:pt x="6" y="255"/>
                                </a:lnTo>
                                <a:lnTo>
                                  <a:pt x="8" y="253"/>
                                </a:lnTo>
                                <a:lnTo>
                                  <a:pt x="8" y="189"/>
                                </a:lnTo>
                                <a:close/>
                                <a:moveTo>
                                  <a:pt x="8" y="11"/>
                                </a:moveTo>
                                <a:lnTo>
                                  <a:pt x="6" y="9"/>
                                </a:lnTo>
                                <a:lnTo>
                                  <a:pt x="4" y="9"/>
                                </a:lnTo>
                                <a:lnTo>
                                  <a:pt x="2" y="9"/>
                                </a:lnTo>
                                <a:lnTo>
                                  <a:pt x="0" y="11"/>
                                </a:lnTo>
                                <a:lnTo>
                                  <a:pt x="0" y="61"/>
                                </a:lnTo>
                                <a:lnTo>
                                  <a:pt x="2" y="62"/>
                                </a:lnTo>
                                <a:lnTo>
                                  <a:pt x="6" y="62"/>
                                </a:lnTo>
                                <a:lnTo>
                                  <a:pt x="8" y="61"/>
                                </a:lnTo>
                                <a:lnTo>
                                  <a:pt x="8" y="11"/>
                                </a:lnTo>
                                <a:close/>
                                <a:moveTo>
                                  <a:pt x="28" y="700"/>
                                </a:moveTo>
                                <a:lnTo>
                                  <a:pt x="27" y="698"/>
                                </a:lnTo>
                                <a:lnTo>
                                  <a:pt x="24" y="698"/>
                                </a:lnTo>
                                <a:lnTo>
                                  <a:pt x="22" y="698"/>
                                </a:lnTo>
                                <a:lnTo>
                                  <a:pt x="21" y="700"/>
                                </a:lnTo>
                                <a:lnTo>
                                  <a:pt x="21" y="750"/>
                                </a:lnTo>
                                <a:lnTo>
                                  <a:pt x="22" y="752"/>
                                </a:lnTo>
                                <a:lnTo>
                                  <a:pt x="27" y="752"/>
                                </a:lnTo>
                                <a:lnTo>
                                  <a:pt x="28" y="750"/>
                                </a:lnTo>
                                <a:lnTo>
                                  <a:pt x="28" y="700"/>
                                </a:lnTo>
                                <a:close/>
                                <a:moveTo>
                                  <a:pt x="28" y="579"/>
                                </a:moveTo>
                                <a:lnTo>
                                  <a:pt x="27" y="577"/>
                                </a:lnTo>
                                <a:lnTo>
                                  <a:pt x="24" y="577"/>
                                </a:lnTo>
                                <a:lnTo>
                                  <a:pt x="22" y="577"/>
                                </a:lnTo>
                                <a:lnTo>
                                  <a:pt x="21" y="579"/>
                                </a:lnTo>
                                <a:lnTo>
                                  <a:pt x="21" y="634"/>
                                </a:lnTo>
                                <a:lnTo>
                                  <a:pt x="22" y="636"/>
                                </a:lnTo>
                                <a:lnTo>
                                  <a:pt x="27" y="636"/>
                                </a:lnTo>
                                <a:lnTo>
                                  <a:pt x="28" y="634"/>
                                </a:lnTo>
                                <a:lnTo>
                                  <a:pt x="28" y="579"/>
                                </a:lnTo>
                                <a:close/>
                                <a:moveTo>
                                  <a:pt x="28" y="488"/>
                                </a:moveTo>
                                <a:lnTo>
                                  <a:pt x="27" y="486"/>
                                </a:lnTo>
                                <a:lnTo>
                                  <a:pt x="24" y="486"/>
                                </a:lnTo>
                                <a:lnTo>
                                  <a:pt x="22" y="486"/>
                                </a:lnTo>
                                <a:lnTo>
                                  <a:pt x="21" y="488"/>
                                </a:lnTo>
                                <a:lnTo>
                                  <a:pt x="21" y="521"/>
                                </a:lnTo>
                                <a:lnTo>
                                  <a:pt x="22" y="523"/>
                                </a:lnTo>
                                <a:lnTo>
                                  <a:pt x="27" y="523"/>
                                </a:lnTo>
                                <a:lnTo>
                                  <a:pt x="28" y="521"/>
                                </a:lnTo>
                                <a:lnTo>
                                  <a:pt x="28" y="488"/>
                                </a:lnTo>
                                <a:close/>
                                <a:moveTo>
                                  <a:pt x="28" y="331"/>
                                </a:moveTo>
                                <a:lnTo>
                                  <a:pt x="27" y="329"/>
                                </a:lnTo>
                                <a:lnTo>
                                  <a:pt x="24" y="329"/>
                                </a:lnTo>
                                <a:lnTo>
                                  <a:pt x="22" y="329"/>
                                </a:lnTo>
                                <a:lnTo>
                                  <a:pt x="21" y="331"/>
                                </a:lnTo>
                                <a:lnTo>
                                  <a:pt x="21" y="423"/>
                                </a:lnTo>
                                <a:lnTo>
                                  <a:pt x="22" y="424"/>
                                </a:lnTo>
                                <a:lnTo>
                                  <a:pt x="27" y="424"/>
                                </a:lnTo>
                                <a:lnTo>
                                  <a:pt x="28" y="423"/>
                                </a:lnTo>
                                <a:lnTo>
                                  <a:pt x="28" y="331"/>
                                </a:lnTo>
                                <a:close/>
                                <a:moveTo>
                                  <a:pt x="28" y="209"/>
                                </a:moveTo>
                                <a:lnTo>
                                  <a:pt x="27" y="208"/>
                                </a:lnTo>
                                <a:lnTo>
                                  <a:pt x="24" y="208"/>
                                </a:lnTo>
                                <a:lnTo>
                                  <a:pt x="22" y="208"/>
                                </a:lnTo>
                                <a:lnTo>
                                  <a:pt x="21" y="209"/>
                                </a:lnTo>
                                <a:lnTo>
                                  <a:pt x="21" y="265"/>
                                </a:lnTo>
                                <a:lnTo>
                                  <a:pt x="22" y="267"/>
                                </a:lnTo>
                                <a:lnTo>
                                  <a:pt x="27" y="267"/>
                                </a:lnTo>
                                <a:lnTo>
                                  <a:pt x="28" y="265"/>
                                </a:lnTo>
                                <a:lnTo>
                                  <a:pt x="28" y="209"/>
                                </a:lnTo>
                                <a:close/>
                                <a:moveTo>
                                  <a:pt x="28" y="119"/>
                                </a:moveTo>
                                <a:lnTo>
                                  <a:pt x="27" y="117"/>
                                </a:lnTo>
                                <a:lnTo>
                                  <a:pt x="24" y="117"/>
                                </a:lnTo>
                                <a:lnTo>
                                  <a:pt x="22" y="117"/>
                                </a:lnTo>
                                <a:lnTo>
                                  <a:pt x="21" y="119"/>
                                </a:lnTo>
                                <a:lnTo>
                                  <a:pt x="21" y="154"/>
                                </a:lnTo>
                                <a:lnTo>
                                  <a:pt x="22" y="156"/>
                                </a:lnTo>
                                <a:lnTo>
                                  <a:pt x="27" y="156"/>
                                </a:lnTo>
                                <a:lnTo>
                                  <a:pt x="28" y="154"/>
                                </a:lnTo>
                                <a:lnTo>
                                  <a:pt x="28" y="119"/>
                                </a:lnTo>
                                <a:close/>
                                <a:moveTo>
                                  <a:pt x="28" y="5"/>
                                </a:moveTo>
                                <a:lnTo>
                                  <a:pt x="27" y="3"/>
                                </a:lnTo>
                                <a:lnTo>
                                  <a:pt x="24" y="3"/>
                                </a:lnTo>
                                <a:lnTo>
                                  <a:pt x="22" y="3"/>
                                </a:lnTo>
                                <a:lnTo>
                                  <a:pt x="21" y="5"/>
                                </a:lnTo>
                                <a:lnTo>
                                  <a:pt x="21" y="54"/>
                                </a:lnTo>
                                <a:lnTo>
                                  <a:pt x="22" y="56"/>
                                </a:lnTo>
                                <a:lnTo>
                                  <a:pt x="27" y="56"/>
                                </a:lnTo>
                                <a:lnTo>
                                  <a:pt x="28" y="54"/>
                                </a:lnTo>
                                <a:lnTo>
                                  <a:pt x="28" y="5"/>
                                </a:lnTo>
                                <a:close/>
                                <a:moveTo>
                                  <a:pt x="49" y="592"/>
                                </a:moveTo>
                                <a:lnTo>
                                  <a:pt x="47" y="590"/>
                                </a:lnTo>
                                <a:lnTo>
                                  <a:pt x="45" y="590"/>
                                </a:lnTo>
                                <a:lnTo>
                                  <a:pt x="43" y="590"/>
                                </a:lnTo>
                                <a:lnTo>
                                  <a:pt x="41" y="592"/>
                                </a:lnTo>
                                <a:lnTo>
                                  <a:pt x="41" y="644"/>
                                </a:lnTo>
                                <a:lnTo>
                                  <a:pt x="43" y="646"/>
                                </a:lnTo>
                                <a:lnTo>
                                  <a:pt x="47" y="646"/>
                                </a:lnTo>
                                <a:lnTo>
                                  <a:pt x="49" y="644"/>
                                </a:lnTo>
                                <a:lnTo>
                                  <a:pt x="49" y="592"/>
                                </a:lnTo>
                                <a:close/>
                                <a:moveTo>
                                  <a:pt x="49" y="480"/>
                                </a:moveTo>
                                <a:lnTo>
                                  <a:pt x="47" y="478"/>
                                </a:lnTo>
                                <a:lnTo>
                                  <a:pt x="45" y="478"/>
                                </a:lnTo>
                                <a:lnTo>
                                  <a:pt x="43" y="478"/>
                                </a:lnTo>
                                <a:lnTo>
                                  <a:pt x="41" y="480"/>
                                </a:lnTo>
                                <a:lnTo>
                                  <a:pt x="41" y="529"/>
                                </a:lnTo>
                                <a:lnTo>
                                  <a:pt x="43" y="531"/>
                                </a:lnTo>
                                <a:lnTo>
                                  <a:pt x="47" y="531"/>
                                </a:lnTo>
                                <a:lnTo>
                                  <a:pt x="49" y="529"/>
                                </a:lnTo>
                                <a:lnTo>
                                  <a:pt x="49" y="480"/>
                                </a:lnTo>
                                <a:close/>
                                <a:moveTo>
                                  <a:pt x="49" y="335"/>
                                </a:moveTo>
                                <a:lnTo>
                                  <a:pt x="47" y="334"/>
                                </a:lnTo>
                                <a:lnTo>
                                  <a:pt x="45" y="334"/>
                                </a:lnTo>
                                <a:lnTo>
                                  <a:pt x="43" y="334"/>
                                </a:lnTo>
                                <a:lnTo>
                                  <a:pt x="41" y="335"/>
                                </a:lnTo>
                                <a:lnTo>
                                  <a:pt x="41" y="418"/>
                                </a:lnTo>
                                <a:lnTo>
                                  <a:pt x="43" y="419"/>
                                </a:lnTo>
                                <a:lnTo>
                                  <a:pt x="47" y="419"/>
                                </a:lnTo>
                                <a:lnTo>
                                  <a:pt x="49" y="418"/>
                                </a:lnTo>
                                <a:lnTo>
                                  <a:pt x="49" y="335"/>
                                </a:lnTo>
                                <a:close/>
                                <a:moveTo>
                                  <a:pt x="49" y="224"/>
                                </a:moveTo>
                                <a:lnTo>
                                  <a:pt x="47" y="222"/>
                                </a:lnTo>
                                <a:lnTo>
                                  <a:pt x="45" y="222"/>
                                </a:lnTo>
                                <a:lnTo>
                                  <a:pt x="43" y="222"/>
                                </a:lnTo>
                                <a:lnTo>
                                  <a:pt x="41" y="224"/>
                                </a:lnTo>
                                <a:lnTo>
                                  <a:pt x="41" y="274"/>
                                </a:lnTo>
                                <a:lnTo>
                                  <a:pt x="43" y="275"/>
                                </a:lnTo>
                                <a:lnTo>
                                  <a:pt x="47" y="275"/>
                                </a:lnTo>
                                <a:lnTo>
                                  <a:pt x="49" y="274"/>
                                </a:lnTo>
                                <a:lnTo>
                                  <a:pt x="49" y="224"/>
                                </a:lnTo>
                                <a:close/>
                                <a:moveTo>
                                  <a:pt x="49" y="110"/>
                                </a:moveTo>
                                <a:lnTo>
                                  <a:pt x="47" y="108"/>
                                </a:lnTo>
                                <a:lnTo>
                                  <a:pt x="45" y="108"/>
                                </a:lnTo>
                                <a:lnTo>
                                  <a:pt x="43" y="108"/>
                                </a:lnTo>
                                <a:lnTo>
                                  <a:pt x="41" y="110"/>
                                </a:lnTo>
                                <a:lnTo>
                                  <a:pt x="41" y="161"/>
                                </a:lnTo>
                                <a:lnTo>
                                  <a:pt x="43" y="162"/>
                                </a:lnTo>
                                <a:lnTo>
                                  <a:pt x="47" y="162"/>
                                </a:lnTo>
                                <a:lnTo>
                                  <a:pt x="49" y="161"/>
                                </a:lnTo>
                                <a:lnTo>
                                  <a:pt x="49" y="110"/>
                                </a:lnTo>
                                <a:close/>
                                <a:moveTo>
                                  <a:pt x="49" y="2"/>
                                </a:moveTo>
                                <a:lnTo>
                                  <a:pt x="47" y="0"/>
                                </a:lnTo>
                                <a:lnTo>
                                  <a:pt x="45" y="0"/>
                                </a:lnTo>
                                <a:lnTo>
                                  <a:pt x="43" y="0"/>
                                </a:lnTo>
                                <a:lnTo>
                                  <a:pt x="41" y="2"/>
                                </a:lnTo>
                                <a:lnTo>
                                  <a:pt x="41" y="49"/>
                                </a:lnTo>
                                <a:lnTo>
                                  <a:pt x="43" y="50"/>
                                </a:lnTo>
                                <a:lnTo>
                                  <a:pt x="47" y="50"/>
                                </a:lnTo>
                                <a:lnTo>
                                  <a:pt x="49" y="49"/>
                                </a:lnTo>
                                <a:lnTo>
                                  <a:pt x="49" y="2"/>
                                </a:lnTo>
                                <a:close/>
                                <a:moveTo>
                                  <a:pt x="70" y="599"/>
                                </a:moveTo>
                                <a:lnTo>
                                  <a:pt x="68" y="597"/>
                                </a:lnTo>
                                <a:lnTo>
                                  <a:pt x="66" y="597"/>
                                </a:lnTo>
                                <a:lnTo>
                                  <a:pt x="64" y="597"/>
                                </a:lnTo>
                                <a:lnTo>
                                  <a:pt x="62" y="599"/>
                                </a:lnTo>
                                <a:lnTo>
                                  <a:pt x="62" y="647"/>
                                </a:lnTo>
                                <a:lnTo>
                                  <a:pt x="64" y="649"/>
                                </a:lnTo>
                                <a:lnTo>
                                  <a:pt x="68" y="649"/>
                                </a:lnTo>
                                <a:lnTo>
                                  <a:pt x="70" y="647"/>
                                </a:lnTo>
                                <a:lnTo>
                                  <a:pt x="70" y="599"/>
                                </a:lnTo>
                                <a:close/>
                                <a:moveTo>
                                  <a:pt x="70" y="474"/>
                                </a:moveTo>
                                <a:lnTo>
                                  <a:pt x="68" y="473"/>
                                </a:lnTo>
                                <a:lnTo>
                                  <a:pt x="66" y="473"/>
                                </a:lnTo>
                                <a:lnTo>
                                  <a:pt x="64" y="473"/>
                                </a:lnTo>
                                <a:lnTo>
                                  <a:pt x="62" y="474"/>
                                </a:lnTo>
                                <a:lnTo>
                                  <a:pt x="62" y="523"/>
                                </a:lnTo>
                                <a:lnTo>
                                  <a:pt x="64" y="525"/>
                                </a:lnTo>
                                <a:lnTo>
                                  <a:pt x="68" y="525"/>
                                </a:lnTo>
                                <a:lnTo>
                                  <a:pt x="70" y="523"/>
                                </a:lnTo>
                                <a:lnTo>
                                  <a:pt x="70" y="474"/>
                                </a:lnTo>
                                <a:close/>
                              </a:path>
                            </a:pathLst>
                          </a:custGeom>
                          <a:solidFill>
                            <a:srgbClr val="A9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B4246" id="Group 5" o:spid="_x0000_s1026" alt="&quot;&quot;" style="position:absolute;margin-left:.1pt;margin-top:767.9pt;width:38.85pt;height:38.1pt;z-index:252015616;mso-position-horizontal-relative:page;mso-position-vertical-relative:page" coordorigin="2,15358" coordsize="77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">
                <v:shape id="docshape1850" o:spid="_x0000_s1027" style="position:absolute;left:396;top:15360;width:382;height:759;visibility:visible;mso-wrap-style:square;v-text-anchor:top" coordsize="38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" path="m8,707l7,705r-3,l2,705,,707r,46l2,755r5,l8,753r,-46xm29,710r-2,-2l25,708r-2,l21,710r,47l23,759r4,l29,757r,-47xm50,711r-2,-2l46,709r-2,l42,711r,46l44,759r4,l50,757r,-46xm71,710r-2,-2l67,708r-2,l63,710r,47l65,759r4,l71,757r,-47xm91,706r-1,-2l88,704r-3,l84,706r,49l85,757r5,l91,755r,-49xm112,701r-2,-2l108,699r-2,l104,701r,50l106,753r4,l112,751r,-50xm154,392r-2,-1l150,391r-2,l146,392r,54l148,448r4,l154,446r,-54xm154,312r-2,-2l150,310r-2,l146,312r,52l148,366r4,l154,364r,-52xm154,156r-2,-1l150,155r-2,l146,156r,77l148,234r4,l154,233r,-77xm154,23r-2,-2l150,21r-2,l146,23r,52l148,77r4,l154,75r,-52xm175,665r-2,-2l171,663r-3,l167,665r,57l168,724r5,l175,722r,-57xm175,550r-2,-2l171,548r-3,l167,550r,76l168,628r5,l175,626r,-76xm175,403r-2,-1l171,402r-3,l167,403r,58l168,463r5,l175,461r,-58xm175,297r-2,-2l171,295r-3,l167,297r,57l168,356r5,l175,354r,-57xm175,179r-2,-2l171,177r-3,l167,179r,75l168,256r5,l175,254r,-75xm175,35r-2,-2l171,33r-3,l167,35r,58l168,95r5,l175,93r,-58xm195,577r-1,-2l191,575r-2,l187,577r,131l189,710r5,l195,708r,-131xm195,418r-1,-1l191,417r-2,l187,418r,62l189,482r5,l195,480r,-62xm195,207r-1,-2l191,205r-2,l187,207r,132l189,341r5,l195,339r,-132xm195,48r-1,-2l191,46r-2,l187,48r,63l189,113r5,l195,111r,-63xm216,604r-2,-2l212,602r-2,l208,604r,86l210,692r4,l216,690r,-86xm216,436r-2,-2l212,434r-2,l208,436r,68l210,506r4,l216,504r,-68xm216,234r-2,-2l212,232r-2,l208,234r,87l210,323r4,l216,321r,-87xm216,68r-2,-1l212,67r-2,l208,68r,65l210,135r4,l216,133r,-65xm237,629r-2,-1l233,628r-2,l229,629r,66l231,697r4,l237,695r,-66xm237,457r-2,-2l233,455r-2,l229,457r,72l231,530r4,l237,529r,-72xm237,259r-2,-1l233,258r-2,l229,259r,67l231,328r4,l237,326r,-67xm237,90r-2,-2l233,88r-2,l229,90r,70l231,161r4,l237,160r,-70xm258,650r-2,-2l254,648r-2,l250,650r,62l252,713r4,l258,712r,-62xm258,483r-2,-2l254,481r-2,l250,483r,72l252,557r4,l258,555r,-72xm258,282r-2,-2l254,280r-2,l250,282r,59l252,343r4,l258,341r,-59xm258,112r-2,-2l254,110r-2,l250,112r,76l252,189r4,l258,188r,-76xm279,669r-2,-2l275,667r-3,l271,669r,57l272,727r5,l279,726r,-57xm279,508r-2,-2l275,506r-3,l271,508r,74l272,584r5,l279,582r,-74xm279,401r-2,-1l275,400r-3,l271,401r,41l272,444r5,l279,442r,-41xm279,300r-2,-2l275,298r-3,l271,300r,56l272,358r5,l279,356r,-56xm279,138r-2,-2l275,136r-3,l271,138r,74l272,213r5,l279,212r,-74xm279,33r-2,-2l275,31r-3,l271,33r,41l272,75r5,l279,74r,-41xm299,684r-1,-2l295,682r-2,l291,684r,53l293,739r5,l299,737r,-53xm299,535r-1,-2l295,533r-2,l291,535r,72l293,608r5,l299,607r,-72xm299,391r-1,-2l295,389r-2,l291,391r,52l293,445r5,l299,443r,-52xm299,314r-1,-2l295,312r-2,l291,314r,54l293,370r5,l299,368r,-54xm299,165r-1,-2l295,163r-2,l291,165r,71l293,238r5,l299,236r,-71xm299,22r-1,-2l295,20r-2,l291,22r,52l293,76r5,l299,74r,-52xm320,694r-2,-2l316,692r-2,l312,694r,52l314,748r4,l320,746r,-52xm320,560r-2,-2l316,558r-2,l312,560r,64l314,626r4,l320,624r,-64xm320,384r-2,-1l316,383r-2,l312,384r,48l314,434r4,l320,432r,-48xm320,325r-2,-2l316,323r-2,l312,325r,48l314,374r4,l320,373r,-48xm320,191r-2,-2l316,189r-2,l312,191r,64l314,257r4,l320,255r,-64xm320,13r-2,-2l316,11r-2,l312,13r,50l314,64r4,l320,63r,-50xm341,702r-2,-2l337,700r-2,l333,702r,50l335,754r4,l341,752r,-50xm341,581r-2,-2l337,579r-2,l333,581r,55l335,638r4,l341,636r,-55xm341,490r-2,-2l337,488r-2,l333,490r,33l335,525r4,l341,523r,-33xm341,333r-2,-2l337,331r-2,l333,333r,92l335,426r4,l341,425r,-92xm341,211r-2,-1l337,210r-2,l333,211r,56l335,269r4,l341,267r,-56xm341,121r-2,-2l337,119r-2,l333,121r,35l335,158r4,l341,156r,-35xm341,7l339,5r-2,l335,5r-2,2l333,56r2,2l339,58r2,-2l341,7xm362,706r-2,-2l358,704r-3,l354,706r,50l355,757r5,l362,756r,-50xm362,594r-2,-2l358,592r-3,l354,594r,52l355,648r5,l362,646r,-52xm362,482r-2,-2l358,480r-3,l354,482r,49l355,533r5,l362,531r,-49xm362,337r-2,-1l358,336r-3,l354,337r,83l355,421r5,l362,420r,-83xm362,226r-2,-2l358,224r-3,l354,226r,50l355,277r5,l362,276r,-50xm362,112r-2,-2l358,110r-3,l354,112r,51l355,164r5,l362,163r,-51xm362,4l360,2r-2,l355,2r-1,2l354,51r1,1l360,52r2,-1l362,4xm382,710r-1,-2l378,708r-2,l374,710r,47l376,759r5,l382,757r,-47xm382,601r-1,-2l378,599r-2,l374,601r,48l376,651r5,l382,649r,-48xm382,476r-1,-1l378,475r-2,l374,476r,49l376,527r5,l382,525r,-49xm382,341r-1,-2l378,339r-2,l374,341r,76l376,419r5,l382,417r,-76xm382,232r-1,-2l378,230r-2,l374,232r,49l376,282r5,l382,281r,-49xm382,108r-1,-2l378,106r-2,l374,108r,49l376,158r5,l382,157r,-49xm382,2l381,r-3,l376,r-2,2l374,47r2,2l381,49r1,-2l382,2xe" fillcolor="#a9c6ab" stroked="f">
                  <v:path arrowok="t" o:connecttype="custom" o:connectlocs="27,16068;44,16069;63,16117;90,16117;112,16061;152,15670;148,15515;146,15435;173,16084;175,15910;173,15655;168,15537;167,15453;194,16070;195,15778;194,15406;210,15962;208,15864;214,15683;216,15428;235,15815;231,15618;229,15520;256,16073;258,15843;256,15470;272,16027;271,15942;277,15804;279,15660;277,15391;293,16042;291,15967;298,15805;299,15674;298,15380;314,16052;312,15984;318,15794;320,15685;318,15371;335,16060;333,15996;339,15885;341,15693;339,15479;335,15365;354,16116;360,16008;362,15842;360,15584;355,15470;354,15411;381,16119;382,15961;381,15699;376,15590;374,15517;381,15409" o:connectangles="0,0,0,0,0,0,0,0,0,0,0,0,0,0,0,0,0,0,0,0,0,0,0,0,0,0,0,0,0,0,0,0,0,0,0,0,0,0,0,0,0,0,0,0,0,0,0,0,0,0,0,0,0,0,0,0,0,0,0"/>
                </v:shape>
                <v:shape id="docshape1851" o:spid="_x0000_s1028" style="position:absolute;left:292;top:15357;width:258;height:757;visibility:visible;mso-wrap-style:square;v-text-anchor:top" coordsize="25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" path="m7,46l6,44r-2,l1,44,,46,,68r1,1l6,69,7,68,7,46xm28,672r-2,-2l24,670r-2,l20,672r,56l22,729r4,l28,728r,-56xm28,512r-2,-1l24,511r-2,l20,512r,74l22,588r4,l28,586r,-74xm28,401r-2,-1l24,400r-2,l20,401r,44l22,447r4,l28,445r,-44xm28,303r-2,-2l24,301r-2,l20,303r,56l22,361r4,l28,359r,-56xm28,142r-2,-1l24,141r-2,l20,142r,74l22,218r4,l28,216r,-74xm28,32l26,30r-2,l22,30r-2,2l20,75r2,2l26,77r2,-2l28,32xm49,686r-2,-1l45,685r-2,l41,686r,53l43,741r4,l49,739r,-53xm49,539r-2,-2l45,537r-2,l41,539r,70l43,611r4,l49,609r,-70xm49,390r-2,-1l45,389r-2,l41,390r,54l43,446r4,l49,444r,-54xm49,317r-2,-2l45,315r-2,l41,317r,53l43,372r4,l49,370r,-53xm49,169r-2,-2l45,167r-2,l41,169r,71l43,241r4,l49,240r,-71xm49,22l47,20r-2,l43,20r-2,2l41,76r2,1l47,77r2,-1l49,22xm70,697r-2,-2l66,695r-2,l62,697r,51l64,750r4,l70,748r,-51xm70,564r-2,-2l66,562r-2,l62,564r,63l64,629r4,l70,627r,-63xm70,386r-2,-2l66,384r-2,l62,386r,48l64,436r4,l70,434r,-48xm70,327r-2,-2l66,325r-2,l62,327r,46l64,374r4,l70,373r,-46xm70,195r-2,-2l66,193r-2,l62,195r,63l64,260r4,l70,258r,-63xm70,14l68,12r-2,l64,12r-2,2l62,65r2,2l68,67r2,-2l70,14xm91,704r-2,-2l87,702r-3,l83,704r,50l84,756r5,l91,754r,-50xm91,584r-2,-2l87,582r-3,l83,584r,55l84,640r5,l91,639r,-55xm91,491r-2,-2l87,489r-3,l83,491r,34l84,527r5,l91,525r,-34xm91,335r-2,-2l87,333r-3,l83,335r,91l84,428r5,l91,426r,-91xm91,215r-2,-2l87,213r-3,l83,215r,54l84,271r5,l91,269r,-54xm91,122r-2,-2l87,120r-3,l83,122r,34l84,158r5,l91,156r,-34xm91,8l89,6r-2,l84,6,83,8r,50l84,59r5,l91,58,91,8xm111,597r-1,-1l107,596r-2,l103,597r,50l105,649r5,l111,647r,-50xm111,483r-1,-2l107,481r-2,l103,483r,50l105,535r5,l111,533r,-50xm111,340r-1,-2l107,338r-2,l103,340r,81l105,423r5,l111,421r,-81xm111,228r-1,-2l107,226r-2,l103,228r,50l105,280r5,l111,278r,-50xm111,114r-1,-2l107,112r-2,l103,114r,49l105,165r5,l111,163r,-49xm111,4l110,2r-3,l105,2r-2,2l103,52r2,2l110,54r1,-2l111,4xm132,603r-2,-2l128,601r-2,l124,603r,48l126,653r4,l132,651r,-48xm132,479r-2,-2l128,477r-2,l124,479r,48l126,529r4,l132,527r,-48xm132,342r-2,-1l128,341r-2,l124,342r,77l126,420r4,l132,419r,-77xm132,234r-2,-2l128,232r-2,l124,234r,49l126,285r4,l132,283r,-49xm132,110r-2,-2l128,108r-2,l124,110r,47l126,159r4,l132,157r,-47xm132,1l130,r-2,l126,r-2,1l124,50r2,1l130,51r2,-1l132,1xm153,605r-2,-2l149,603r-2,l145,605r,49l147,655r4,l153,654r,-49xm153,478r-2,-2l149,476r-2,l145,478r,48l147,528r4,l153,526r,-48xm153,343r-2,-2l149,341r-2,l145,343r,75l147,419r4,l153,418r,-75xm153,236r-2,-2l149,234r-2,l145,236r,48l147,285r4,l153,284r,-48xm153,108r-2,-1l149,107r-2,l145,108r,49l147,159r4,l153,157r,-49xm153,1l151,r-2,l147,r-2,1l145,49r2,2l151,51r2,-2l153,1xm174,602r-2,-2l170,600r-2,l166,602r,48l168,652r4,l174,650r,-48xm174,480r-2,-2l170,478r-2,l166,480r,48l168,530r4,l174,528r,-48xm174,342r-2,-2l170,340r-2,l166,342r,77l168,421r4,l174,419r,-77xm174,233r-2,-2l170,231r-2,l166,233r,49l168,284r4,l174,282r,-49xm174,111r-2,-2l170,109r-2,l166,111r,48l168,161r4,l174,159r,-48xm174,1l172,r-2,l168,r-2,1l166,51r2,1l172,52r2,-1l174,1xm194,595r-1,-2l191,593r-3,l187,595r,50l188,647r5,l194,645r,-50xm194,485r-1,-2l191,483r-3,l187,485r,51l188,538r5,l194,536r,-51xm194,339r-1,-2l191,337r-3,l187,339r,83l188,423r5,l194,422r,-83xm194,225r-1,-2l191,223r-3,l187,225r,50l188,277r5,l194,275r,-50xm194,116r-1,-2l191,114r-3,l187,116r,52l188,170r5,l194,168r,-52xm194,4l193,2r-2,l188,2r-1,2l187,53r1,2l193,55r1,-2l194,4xm215,577r-2,-1l211,576r-2,l207,577r,59l209,638r4,l215,636r,-59xm215,494r-2,-1l211,493r-2,l207,494r,58l209,553r4,l215,552r,-58xm215,333r-2,-1l211,332r-2,l207,333r,96l209,431r4,l215,429r,-96xm215,210r-2,-2l211,208r-2,l207,210r,57l209,269r4,l215,267r,-57xm215,125r-2,-2l211,123r-2,l207,125r,58l209,185r4,l215,183r,-58xm215,9l213,7r-2,l209,7r-2,2l207,60r2,2l213,62r2,-2l215,9xm236,694r-2,-2l232,692r-2,l228,694r,52l230,748r4,l236,746r,-52xm236,508r-2,-2l232,506r-2,l228,508r,114l230,623r4,l236,622r,-114xm236,387r-2,-1l232,386r-2,l228,387r,50l230,439r4,l236,437r,-50xm236,324r-2,-2l232,322r-2,l228,324r,49l230,375r4,l236,373r,-49xm236,140r-2,-2l232,138r-2,l228,140r,115l230,257r4,l236,255r,-115xm236,16r-2,-2l232,14r-2,l228,16r,53l230,70r4,l236,69r,-53xm257,683r-2,-2l253,681r-2,l249,683r,53l251,738r4,l257,736r,-53xm257,528r-2,-2l253,526r-2,l249,528r,78l251,608r4,l257,606r,-78xm257,394r-2,-1l253,393r-2,l249,394r,54l251,450r4,l257,448r,-54xe" fillcolor="#a9c6ab" stroked="f">
                  <v:path arrowok="t" o:connecttype="custom" o:connectlocs="26,16028;22,15869;20,15803;26,15719;28,15500;47,16043;43,15895;41,15802;47,15730;49,15527;68,16053;64,15920;62,15792;68,15732;70,15553;89,16060;84,15940;83,15883;89,15786;91,15573;89,15364;105,15954;103,15891;110,15781;111,15586;110,15360;126,15959;124,15885;130,15778;132,15592;130,15358;147,15961;145,15884;151,15777;153,15594;151,15358;168,15958;166,15886;172,15779;174,15591;172,15358;188,15951;187,15894;193,15781;194,15583;193,15360;209,15934;207,15910;213,15789;215,15568;213,15365;230,16050;228,15980;234,15797;236,15682;234,15372;251,16039;249,15964;255,15808" o:connectangles="0,0,0,0,0,0,0,0,0,0,0,0,0,0,0,0,0,0,0,0,0,0,0,0,0,0,0,0,0,0,0,0,0,0,0,0,0,0,0,0,0,0,0,0,0,0,0,0,0,0,0,0,0,0,0,0,0,0,0"/>
                </v:shape>
                <v:shape id="docshape1852" o:spid="_x0000_s1029" style="position:absolute;left:43;top:15357;width:258;height:761;visibility:visible;mso-wrap-style:square;v-text-anchor:top" coordsize="2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" path="m8,708l6,706r-2,l2,706,,708r,50l2,759r4,l8,758r,-50xm29,712r-2,-2l25,710r-2,l21,712r,47l23,761r4,l29,759r,-47xm29,478r-2,-1l25,477r-2,l21,478r,49l23,529r4,l29,527r,-49xm29,343r-2,-2l25,341r-2,l21,343r,76l23,421r4,l29,419r,-76xm29,234r-2,-2l25,232r-2,l21,234r,49l23,284r4,l29,283r,-49xm29,110r-2,-2l25,108r-2,l21,110r,49l23,160r4,l29,159r,-49xm29,4l27,2r-2,l23,2,21,4r,45l23,51r4,l29,49,29,4xm50,712r-2,-2l46,710r-2,l42,712r,47l44,761r4,l50,759r,-47xm50,605r-2,-1l46,604r-2,l42,605r,48l44,655r4,l50,653r,-48xm50,478r-2,-2l46,476r-2,l42,478r,48l44,528r4,l50,526r,-48xm50,343r-2,-1l46,342r-2,l42,343r,75l44,420r4,l50,418r,-75xm50,236r-2,-2l46,234r-2,l42,236r,48l44,285r4,l50,284r,-48xm50,108r-2,-1l46,107r-2,l42,108r,48l44,158r4,l50,156r,-48xm50,4l48,2r-2,l44,2,42,4r,44l44,50r4,l50,48,50,4xm70,711r-1,-2l66,709r-2,l63,711r,48l64,761r5,l70,759r,-48xm70,602r-1,-2l66,600r-2,l63,602r,49l64,653r5,l70,651r,-49xm70,479r-1,-1l66,478r-2,l63,479r,49l64,530r5,l70,528r,-49xm70,342r-1,-2l66,340r-2,l63,342r,77l64,420r5,l70,419r,-77xm70,232r-1,-2l66,230r-2,l63,232r,50l64,284r5,l70,282r,-50xm70,111r-1,-2l66,109r-2,l63,111r,48l64,161r5,l70,159r,-48xm70,2l69,,66,,64,,63,2r,48l64,52r5,l70,50,70,2xm91,708r-2,-2l87,706r-2,l83,708r,49l85,759r4,l91,757r,-49xm91,593r-2,-2l87,591r-2,l83,593r,52l85,646r4,l91,645r,-52xm91,485r-2,-2l87,483r-2,l83,485r,52l85,539r4,l91,537r,-52xm91,339r-2,-2l87,337r-2,l83,339r,83l85,424r4,l91,422r,-83xm91,224r-2,-2l87,222r-2,l83,224r,51l85,277r4,l91,275r,-51xm91,115r-2,-2l87,113r-2,l83,115r,54l85,170r4,l91,169r,-54xm91,4l89,2r-2,l85,2,83,4r,49l85,55r4,l91,53,91,4xm112,702r-2,-2l108,700r-2,l104,702r,50l106,754r4,l112,752r,-50xm112,577r-2,-1l108,576r-2,l104,577r,59l106,638r4,l112,636r,-59xm112,495r-2,-2l108,493r-2,l104,495r,58l106,554r4,l112,553r,-58xm112,333r-2,-2l108,331r-2,l104,333r,96l106,430r4,l112,429r,-96xm112,209r-2,-2l108,207r-2,l104,209r,58l106,268r4,l112,267r,-58xm112,125r-2,-2l108,123r-2,l104,125r,59l106,185r4,l112,184r,-59xm112,9l110,8r-2,l106,8r-2,1l104,58r2,2l110,60r2,-2l112,9xm133,694r-2,-2l129,692r-2,l125,694r,51l127,746r4,l133,745r,-51xm133,509r-2,-2l129,507r-2,l125,509r,113l127,624r4,l133,622r,-113xm133,388r-2,-2l129,386r-2,l125,388r,49l127,439r4,l133,437r,-49xm133,323r-2,-2l129,321r-2,l125,323r,51l127,376r4,l133,374r,-51xm133,140r-2,-2l129,138r-2,l125,140r,112l127,253r4,l133,252r,-112xm133,16r-2,-1l129,15r-2,l125,16r,52l127,69r4,l133,68r,-52xm154,682r-2,-2l150,680r-3,l146,682r,55l147,739r5,l154,737r,-55xm154,528r-2,-1l150,527r-3,l146,528r,75l147,605r5,l154,603r,-75xm154,395r-2,-1l150,394r-3,l146,395r,54l147,451r5,l154,449r,-54xm154,312r-2,-1l150,311r-3,l146,312r,54l147,368r5,l154,366r,-54xm154,159r-2,-2l150,157r-3,l146,159r,76l147,237r5,l154,235r,-76xm154,27r-2,-2l150,25r-3,l146,27r,54l147,82r5,l154,81r,-54xm174,666r-1,-2l170,664r-2,l166,666r,58l168,726r5,l174,724r,-58xm174,554r-1,-2l170,552r-2,l166,554r,75l168,631r5,l174,629r,-75xm174,407r-1,-2l170,405r-2,l166,407r,57l168,466r5,l174,464r,-57xm174,297r-1,-2l170,295r-2,l166,297r,58l168,357r5,l174,355r,-58xm174,185r-1,-2l170,183r-2,l166,185r,75l168,261r5,l174,260r,-75xm174,38r-1,-2l170,36r-2,l166,38r,58l168,98r5,l174,96r,-58xm195,579r-2,-1l191,578r-2,l187,579r,130l189,711r4,l195,709r,-130xm195,422r-2,-2l191,420r-2,l187,422r,62l189,486r4,l195,484r,-62xm195,212r-2,-2l191,210r-2,l187,212r,128l189,342r4,l195,340r,-128xm195,53r-2,-2l191,51r-2,l187,53r,62l189,116r4,l195,115r,-62xm216,607r-2,-2l212,605r-2,l208,607r,84l210,693r4,l216,691r,-84xm216,440r-2,-1l212,439r-2,l208,440r,66l210,508r4,l216,506r,-66xm216,237r-2,-1l212,236r-2,l208,237r,84l210,323r4,l216,321r,-84xm216,70r-2,-2l212,68r-2,l208,70r,67l210,139r4,l216,137r,-67xm237,633r-2,-2l233,631r-2,l229,633r,66l231,700r4,l237,699r,-66xm237,461r-2,-2l233,459r-2,l229,461r,71l231,534r4,l237,532r,-71xm237,263r-2,-1l233,262r-2,l229,263r,66l231,330r4,l237,329r,-66xm237,91r-2,-2l233,89r-2,l229,91r,73l231,165r4,l237,164r,-73xm257,654r-1,-2l254,652r-3,l250,654r,61l251,717r5,l257,715r,-61xm257,482r-1,-1l254,481r-3,l250,482r,78l251,562r5,l257,560r,-78xm257,414r-1,-2l254,412r-3,l250,414r,20l251,436r5,l257,434r,-20xm257,285r-1,-2l254,283r-3,l250,285r,61l251,348r5,l257,346r,-61xm257,115r-1,-1l254,114r-3,l250,115r,78l251,195r5,l257,193r,-78xm257,46r-1,-2l254,44r-3,l250,46r,22l251,69r5,l257,68r,-22xe" fillcolor="#a9c6ab" stroked="f">
                  <v:path arrowok="t" o:connecttype="custom" o:connectlocs="27,16068;23,15835;21,15777;27,15642;29,15468;48,16068;44,15962;42,15884;48,15778;50,15594;48,15360;64,16067;63,16009;69,15888;70,15700;69,15467;64,15358;83,16115;89,16004;91,15843;89,15580;85,15471;83,15411;110,16112;112,15935;110,15689;106,15565;104,15542;110,15418;133,16052;131,15744;127,15679;125,15610;131,15427;154,16040;152,15752;147,15669;146,15593;152,15440;174,16024;173,15763;168,15653;166,15618;173,15456;195,15937;193,15568;189,15409;208,16049;214,15866;216,15595;235,15989;231,15817;229,15687;235,15523;257,16012;256,15770;251,15641;250,15551;256,15427" o:connectangles="0,0,0,0,0,0,0,0,0,0,0,0,0,0,0,0,0,0,0,0,0,0,0,0,0,0,0,0,0,0,0,0,0,0,0,0,0,0,0,0,0,0,0,0,0,0,0,0,0,0,0,0,0,0,0,0,0,0,0"/>
                </v:shape>
                <v:shape id="docshape1853" o:spid="_x0000_s1030" style="position:absolute;left:1;top:15361;width:71;height:752;visibility:visible;mso-wrap-style:square;v-text-anchor:top" coordsize="7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" path="m8,692l6,690r-2,l2,690,,692r,52l2,746r4,l8,744r,-52xm8,558l6,556r-2,l2,556,,558r,64l2,624r4,l8,622r,-64xm8,382l6,381r-2,l2,381,,382r,48l2,432r4,l8,430r,-48xm8,323l6,321r-2,l2,321,,323r,48l2,372r4,l8,371r,-48xm8,189l6,187r-2,l2,187,,189r,64l2,255r4,l8,253r,-64xm8,11l6,9,4,9,2,9,,11,,61r2,1l6,62,8,61,8,11xm28,700r-1,-2l24,698r-2,l21,700r,50l22,752r5,l28,750r,-50xm28,579r-1,-2l24,577r-2,l21,579r,55l22,636r5,l28,634r,-55xm28,488r-1,-2l24,486r-2,l21,488r,33l22,523r5,l28,521r,-33xm28,331r-1,-2l24,329r-2,l21,331r,92l22,424r5,l28,423r,-92xm28,209r-1,-1l24,208r-2,l21,209r,56l22,267r5,l28,265r,-56xm28,119r-1,-2l24,117r-2,l21,119r,35l22,156r5,l28,154r,-35xm28,5l27,3r-3,l22,3,21,5r,49l22,56r5,l28,54,28,5xm49,592r-2,-2l45,590r-2,l41,592r,52l43,646r4,l49,644r,-52xm49,480r-2,-2l45,478r-2,l41,480r,49l43,531r4,l49,529r,-49xm49,335r-2,-1l45,334r-2,l41,335r,83l43,419r4,l49,418r,-83xm49,224r-2,-2l45,222r-2,l41,224r,50l43,275r4,l49,274r,-50xm49,110r-2,-2l45,108r-2,l41,110r,51l43,162r4,l49,161r,-51xm49,2l47,,45,,43,,41,2r,47l43,50r4,l49,49,49,2xm70,599r-2,-2l66,597r-2,l62,599r,48l64,649r4,l70,647r,-48xm70,474r-2,-1l66,473r-2,l62,474r,49l64,525r4,l70,523r,-49xe" fillcolor="#a9c6ab" stroked="f">
                  <v:path arrowok="t" o:connecttype="custom" o:connectlocs="2,16052;6,16108;6,15918;0,15984;8,15920;2,15743;6,15794;6,15683;0,15733;8,15685;2,15549;6,15617;6,15371;0,15423;8,15373;22,16060;27,16114;27,15939;21,15996;28,15941;22,15848;27,15885;27,15691;21,15785;28,15693;22,15570;27,15629;27,15479;21,15516;28,15481;22,15365;27,15418;47,15952;41,16006;49,15954;43,15840;47,15893;47,15696;41,15780;49,15697;43,15584;47,15637;47,15470;41,15523;49,15472;43,15362;47,15412;68,15959;62,16009;70,15961;64,15835;68,15887" o:connectangles="0,0,0,0,0,0,0,0,0,0,0,0,0,0,0,0,0,0,0,0,0,0,0,0,0,0,0,0,0,0,0,0,0,0,0,0,0,0,0,0,0,0,0,0,0,0,0,0,0,0,0,0"/>
                </v:shape>
                <w10:wrap anchorx="page" anchory="page"/>
              </v:group>
            </w:pict>
          </mc:Fallback>
        </mc:AlternateContent>
      </w:r>
      <w:r w:rsidR="0056440F">
        <w:t xml:space="preserve"> </w:t>
      </w:r>
      <w:r w:rsidRPr="00C000B2">
        <w:t>(accessed 30</w:t>
      </w:r>
      <w:r w:rsidR="0056440F">
        <w:t> </w:t>
      </w:r>
      <w:r w:rsidRPr="00C000B2">
        <w:t>October 2021).</w:t>
      </w:r>
    </w:p>
    <w:p w14:paraId="7CAC7C07" w14:textId="77777777" w:rsidR="00EF27EC" w:rsidRPr="00C000B2" w:rsidRDefault="00EF27EC" w:rsidP="00043D21">
      <w:pPr>
        <w:pStyle w:val="References"/>
      </w:pPr>
      <w:r w:rsidRPr="00C000B2">
        <w:t xml:space="preserve">Liang W, </w:t>
      </w:r>
      <w:proofErr w:type="spellStart"/>
      <w:r w:rsidRPr="00C000B2">
        <w:t>Chikritzhs</w:t>
      </w:r>
      <w:proofErr w:type="spellEnd"/>
      <w:r w:rsidRPr="00C000B2">
        <w:t xml:space="preserve"> T. 2015. Age at first use of alcohol predicts the risk of heavy alcohol use in early adulthood: a longitudinal study in the United States. </w:t>
      </w:r>
      <w:r w:rsidRPr="00C000B2">
        <w:rPr>
          <w:i/>
        </w:rPr>
        <w:t xml:space="preserve">International Journal of Drug Policy </w:t>
      </w:r>
      <w:r w:rsidRPr="00C000B2">
        <w:t>26(2): 131–4.</w:t>
      </w:r>
    </w:p>
    <w:p w14:paraId="001F0831" w14:textId="77777777" w:rsidR="00EF27EC" w:rsidRPr="00C000B2" w:rsidRDefault="00EF27EC" w:rsidP="00043D21">
      <w:pPr>
        <w:pStyle w:val="References"/>
      </w:pPr>
      <w:r w:rsidRPr="00C000B2">
        <w:t xml:space="preserve">Jackson N, Robertson H. 2017. </w:t>
      </w:r>
      <w:r w:rsidRPr="00C000B2">
        <w:rPr>
          <w:i/>
        </w:rPr>
        <w:t>Review of Territorial Authority Progress towards Local Alcohol Policy Development (2nd edition)</w:t>
      </w:r>
      <w:r w:rsidRPr="00C000B2">
        <w:t xml:space="preserve">. Auckland: Alcohol Healthwatch. URL: </w:t>
      </w:r>
      <w:hyperlink r:id="rId133" w:history="1">
        <w:r w:rsidR="00AB2974" w:rsidRPr="00AB2974">
          <w:rPr>
            <w:rStyle w:val="Hyperlink"/>
          </w:rPr>
          <w:t>http://www.ahw.org.nz/Portals/5/Resources/Documents-other/2017/LAPReport_2017_WEB_amended%2020_3_18.pdf</w:t>
        </w:r>
      </w:hyperlink>
      <w:r w:rsidRPr="00C000B2">
        <w:t xml:space="preserve"> (accessed 26 October 2021).</w:t>
      </w:r>
    </w:p>
    <w:p w14:paraId="4189E5CA" w14:textId="77777777" w:rsidR="00EF27EC" w:rsidRPr="00C000B2" w:rsidRDefault="00EF27EC" w:rsidP="00043D21">
      <w:pPr>
        <w:pStyle w:val="References"/>
      </w:pPr>
      <w:proofErr w:type="spellStart"/>
      <w:r w:rsidRPr="00C000B2">
        <w:t>Ayuka</w:t>
      </w:r>
      <w:proofErr w:type="spellEnd"/>
      <w:r w:rsidRPr="00C000B2">
        <w:t xml:space="preserve"> F, Barnett R, Pearce J. 2014. Neighbourhood availability of alcohol outlets and hazardous alcohol consumption in New Zealand. </w:t>
      </w:r>
      <w:r w:rsidRPr="00C000B2">
        <w:rPr>
          <w:i/>
        </w:rPr>
        <w:t xml:space="preserve">Health &amp; Place </w:t>
      </w:r>
      <w:r w:rsidRPr="00C000B2">
        <w:t>29: 186–99.</w:t>
      </w:r>
    </w:p>
    <w:p w14:paraId="624153BE" w14:textId="77777777" w:rsidR="00EF27EC" w:rsidRPr="00C000B2" w:rsidRDefault="00EF27EC" w:rsidP="00043D21">
      <w:pPr>
        <w:pStyle w:val="References"/>
      </w:pPr>
      <w:r w:rsidRPr="00C000B2">
        <w:t xml:space="preserve">Bryden A, Roberts B, McKee M, et al. 2012. A systematic review of the influence on alcohol use of community level availability and marketing of alcohol. </w:t>
      </w:r>
      <w:r w:rsidRPr="00C000B2">
        <w:rPr>
          <w:i/>
        </w:rPr>
        <w:t xml:space="preserve">Health &amp; Place </w:t>
      </w:r>
      <w:r w:rsidRPr="00C000B2">
        <w:t>18(2): 349–57.</w:t>
      </w:r>
    </w:p>
    <w:p w14:paraId="7F3694AF" w14:textId="77777777" w:rsidR="00EF27EC" w:rsidRPr="00C000B2" w:rsidRDefault="00EF27EC" w:rsidP="00043D21">
      <w:pPr>
        <w:pStyle w:val="References"/>
      </w:pPr>
      <w:r w:rsidRPr="00C000B2">
        <w:t xml:space="preserve">Campbell CA, Hahn RA, Elder R, et al. 2009. The effectiveness of limiting alcohol outlet density as a means of reducing excessive alcohol consumption and alcohol-related harms. </w:t>
      </w:r>
      <w:r w:rsidRPr="00C000B2">
        <w:rPr>
          <w:i/>
        </w:rPr>
        <w:t xml:space="preserve">American Journal of Preventive Medicine </w:t>
      </w:r>
      <w:r w:rsidRPr="00C000B2">
        <w:t>37(6): 556–69.</w:t>
      </w:r>
    </w:p>
    <w:p w14:paraId="6BF2F6A8" w14:textId="77777777" w:rsidR="00EF27EC" w:rsidRPr="00C000B2" w:rsidRDefault="00EF27EC" w:rsidP="00043D21">
      <w:pPr>
        <w:pStyle w:val="References"/>
      </w:pPr>
      <w:proofErr w:type="spellStart"/>
      <w:r w:rsidRPr="00C000B2">
        <w:t>Sherk</w:t>
      </w:r>
      <w:proofErr w:type="spellEnd"/>
      <w:r w:rsidRPr="00C000B2">
        <w:t xml:space="preserve"> A, Stockwell T, </w:t>
      </w:r>
      <w:proofErr w:type="spellStart"/>
      <w:r w:rsidRPr="00C000B2">
        <w:t>Chikritzhs</w:t>
      </w:r>
      <w:proofErr w:type="spellEnd"/>
      <w:r w:rsidRPr="00C000B2">
        <w:t xml:space="preserve"> T, et al. 2018. Alcohol consumption and the physical availability of take-away alcohol: systematic reviews and meta-analyses of the days and hours of sale and outlet density. </w:t>
      </w:r>
      <w:r w:rsidRPr="00C000B2">
        <w:rPr>
          <w:i/>
        </w:rPr>
        <w:t xml:space="preserve">Journal of Studies on Alcohol and Drugs </w:t>
      </w:r>
      <w:r w:rsidRPr="00C000B2">
        <w:t>79(1): 58–67.</w:t>
      </w:r>
    </w:p>
    <w:p w14:paraId="62ED7940" w14:textId="77777777" w:rsidR="00EF27EC" w:rsidRPr="00C000B2" w:rsidRDefault="00EF27EC" w:rsidP="00AB2974">
      <w:pPr>
        <w:pStyle w:val="References"/>
        <w:keepNext/>
        <w:keepLines/>
      </w:pPr>
      <w:r w:rsidRPr="00C000B2">
        <w:lastRenderedPageBreak/>
        <w:t xml:space="preserve">Wilkinson C, MacLean S, Room R. 2020. Restricting alcohol outlet density through cumulative impact provisions in planning law: challenges and opportunities for local governments. </w:t>
      </w:r>
      <w:r w:rsidRPr="00C000B2">
        <w:rPr>
          <w:i/>
        </w:rPr>
        <w:t xml:space="preserve">Health &amp; Place </w:t>
      </w:r>
      <w:r w:rsidRPr="00C000B2">
        <w:t>61: 102227. DOI: 10.1016/j.healthplace.2019.102227 (accessed 25 October 2021).</w:t>
      </w:r>
    </w:p>
    <w:p w14:paraId="4B516D95" w14:textId="77777777" w:rsidR="00EF27EC" w:rsidRPr="00C000B2" w:rsidRDefault="00EF27EC" w:rsidP="00043D21">
      <w:pPr>
        <w:pStyle w:val="References"/>
      </w:pPr>
      <w:r w:rsidRPr="00C000B2">
        <w:t xml:space="preserve">Furr-Holden C, Milam A, </w:t>
      </w:r>
      <w:proofErr w:type="spellStart"/>
      <w:r w:rsidRPr="00C000B2">
        <w:t>Nesoff</w:t>
      </w:r>
      <w:proofErr w:type="spellEnd"/>
      <w:r w:rsidRPr="00C000B2">
        <w:t xml:space="preserve"> E, et al. 2020. Using zoning as a public health tool to reduce alcohol outlet oversaturation, promote compliance, and guide future enforcement: a preliminary analysis of Transform Baltimore. </w:t>
      </w:r>
      <w:r w:rsidRPr="00C000B2">
        <w:rPr>
          <w:i/>
        </w:rPr>
        <w:t xml:space="preserve">Journal of Urban Health </w:t>
      </w:r>
      <w:r w:rsidRPr="00C000B2">
        <w:t>97(4): 568–82. DOI: 10.1007/s11524-020-00453-7 (accessed 29 October 2021).</w:t>
      </w:r>
    </w:p>
    <w:p w14:paraId="0DE5C519" w14:textId="77777777" w:rsidR="00EF27EC" w:rsidRPr="00C000B2" w:rsidRDefault="00EF27EC" w:rsidP="00043D21">
      <w:pPr>
        <w:pStyle w:val="References"/>
      </w:pPr>
      <w:r w:rsidRPr="00C000B2">
        <w:t xml:space="preserve">Aron A, Allen K. 2021. </w:t>
      </w:r>
      <w:r w:rsidRPr="00C000B2">
        <w:rPr>
          <w:i/>
        </w:rPr>
        <w:t>Public Attitudes on Policy Interventions to Reduce Alcohol Harm: Results from the 2019/20 Alcohol Use in New Zealand Survey (</w:t>
      </w:r>
      <w:proofErr w:type="spellStart"/>
      <w:r w:rsidRPr="00C000B2">
        <w:rPr>
          <w:i/>
        </w:rPr>
        <w:t>AUiNZ</w:t>
      </w:r>
      <w:proofErr w:type="spellEnd"/>
      <w:r w:rsidRPr="00C000B2">
        <w:rPr>
          <w:i/>
        </w:rPr>
        <w:t>)</w:t>
      </w:r>
      <w:r w:rsidRPr="00C000B2">
        <w:t>. Wellington: Te Hiringa Hauora | Health Promotion Agency.</w:t>
      </w:r>
    </w:p>
    <w:p w14:paraId="42C70D00" w14:textId="77777777" w:rsidR="00EF27EC" w:rsidRPr="00C000B2" w:rsidRDefault="00EF27EC" w:rsidP="00043D21">
      <w:pPr>
        <w:pStyle w:val="References"/>
      </w:pPr>
      <w:r w:rsidRPr="00C000B2">
        <w:t xml:space="preserve">Alcohol Regulatory and Licensing Authority. 2019. </w:t>
      </w:r>
      <w:r w:rsidRPr="00C000B2">
        <w:rPr>
          <w:i/>
        </w:rPr>
        <w:t>Report of the Alcohol Regulatory and Licensing Authority for the 12 months ended 30 June 2019</w:t>
      </w:r>
      <w:r w:rsidRPr="00C000B2">
        <w:t xml:space="preserve">. Alcohol Regulatory and Licensing Authority. URL: </w:t>
      </w:r>
      <w:hyperlink r:id="rId134" w:history="1">
        <w:r w:rsidR="0027204C" w:rsidRPr="0027204C">
          <w:rPr>
            <w:rStyle w:val="Hyperlink"/>
          </w:rPr>
          <w:t>https://www.parliament.nz/resource/en-NZ/PAP_92971/d73ab2acc835b7dee35797f8eab3a1685972c4a0</w:t>
        </w:r>
      </w:hyperlink>
      <w:r w:rsidRPr="00C000B2">
        <w:t xml:space="preserve"> (accessed 27</w:t>
      </w:r>
      <w:r w:rsidR="0027204C">
        <w:t> </w:t>
      </w:r>
      <w:r w:rsidRPr="00C000B2">
        <w:t>October 2021).</w:t>
      </w:r>
    </w:p>
    <w:p w14:paraId="694A8653" w14:textId="77777777" w:rsidR="00EF27EC" w:rsidRPr="00C000B2" w:rsidRDefault="00EF27EC" w:rsidP="00043D21">
      <w:pPr>
        <w:pStyle w:val="References"/>
      </w:pPr>
      <w:proofErr w:type="spellStart"/>
      <w:r w:rsidRPr="00C000B2">
        <w:t>Randerson</w:t>
      </w:r>
      <w:proofErr w:type="spellEnd"/>
      <w:r w:rsidRPr="00C000B2">
        <w:t xml:space="preserve"> S, Casswell S, Huckle T. 2018. Changes in New Zealand’s alcohol environment following implementation of the Sale and Supply of Alcohol Act (2012). </w:t>
      </w:r>
      <w:r w:rsidRPr="00C000B2">
        <w:rPr>
          <w:i/>
        </w:rPr>
        <w:t xml:space="preserve">New Zealand Medical Journal </w:t>
      </w:r>
      <w:r w:rsidRPr="00C000B2">
        <w:t>131(1476): 14–23.</w:t>
      </w:r>
    </w:p>
    <w:p w14:paraId="6B10095F" w14:textId="77777777" w:rsidR="00EF27EC" w:rsidRPr="00C000B2" w:rsidRDefault="00EF27EC" w:rsidP="00043D21">
      <w:pPr>
        <w:pStyle w:val="References"/>
      </w:pPr>
      <w:r w:rsidRPr="00C000B2">
        <w:t xml:space="preserve">Cameron M, Cochrane W, Livingston M. 2016. </w:t>
      </w:r>
      <w:r w:rsidRPr="00C000B2">
        <w:rPr>
          <w:i/>
        </w:rPr>
        <w:t>The Relationship Between Alcohol Outlets and Harms: A spatial panel analysis for New Zealand, 2007–2014</w:t>
      </w:r>
      <w:r w:rsidRPr="00C000B2">
        <w:t>. Wellington: Health Promotion Agency.</w:t>
      </w:r>
    </w:p>
    <w:p w14:paraId="61447EF1" w14:textId="77777777" w:rsidR="00EF27EC" w:rsidRPr="00C000B2" w:rsidRDefault="00EF27EC" w:rsidP="00043D21">
      <w:pPr>
        <w:pStyle w:val="References"/>
      </w:pPr>
      <w:r w:rsidRPr="00C000B2">
        <w:t xml:space="preserve">Connor J, </w:t>
      </w:r>
      <w:proofErr w:type="spellStart"/>
      <w:r w:rsidRPr="00C000B2">
        <w:t>Maclennan</w:t>
      </w:r>
      <w:proofErr w:type="spellEnd"/>
      <w:r w:rsidRPr="00C000B2">
        <w:t xml:space="preserve"> B, Huckle T, et al. 2021. Changes in the incidence of assault after restrictions on late-night alcohol sales in New Zealand: evaluation of a natural experiment using hospitalization and police data. </w:t>
      </w:r>
      <w:r w:rsidRPr="00C000B2">
        <w:rPr>
          <w:i/>
        </w:rPr>
        <w:t xml:space="preserve">Addiction </w:t>
      </w:r>
      <w:r w:rsidRPr="00C000B2">
        <w:t>116(4): 788–98. DOI: 10.1111/add.15206 (accessed 29 October 2021).</w:t>
      </w:r>
    </w:p>
    <w:p w14:paraId="1BC6C017" w14:textId="77777777" w:rsidR="00EF27EC" w:rsidRPr="00C000B2" w:rsidRDefault="00EF27EC" w:rsidP="00043D21">
      <w:pPr>
        <w:pStyle w:val="References"/>
      </w:pPr>
      <w:proofErr w:type="spellStart"/>
      <w:r w:rsidRPr="00C000B2">
        <w:t>Kypri</w:t>
      </w:r>
      <w:proofErr w:type="spellEnd"/>
      <w:r w:rsidRPr="00C000B2">
        <w:t xml:space="preserve"> K, McElduff P, Miller P. 2014. Restrictions in pub closing times and lockouts in Newcastle, Australia five years on. </w:t>
      </w:r>
      <w:r w:rsidRPr="00C000B2">
        <w:rPr>
          <w:i/>
        </w:rPr>
        <w:t xml:space="preserve">Drug and Alcohol Review </w:t>
      </w:r>
      <w:r w:rsidRPr="00C000B2">
        <w:t>33(3): 323–6. DOI: 10.1111/dar.12123 (accessed 29 October 2021).</w:t>
      </w:r>
    </w:p>
    <w:p w14:paraId="32C3F258" w14:textId="77777777" w:rsidR="00EF27EC" w:rsidRPr="00C000B2" w:rsidRDefault="00EF27EC" w:rsidP="00043D21">
      <w:pPr>
        <w:pStyle w:val="References"/>
      </w:pPr>
      <w:r w:rsidRPr="00C000B2">
        <w:t xml:space="preserve">Te Hiringa Hauora | Health Promotion Agency. 2018. </w:t>
      </w:r>
      <w:r w:rsidRPr="00C000B2">
        <w:rPr>
          <w:i/>
        </w:rPr>
        <w:t>Alcohol-related Attitudes over Time: Results from the Health and Lifestyles Survey</w:t>
      </w:r>
      <w:r w:rsidRPr="00C000B2">
        <w:t>. Wellington: Te Hiringa Hauora | Health Promotion Agency.</w:t>
      </w:r>
    </w:p>
    <w:p w14:paraId="2234F875" w14:textId="77777777" w:rsidR="00EF27EC" w:rsidRPr="00C000B2" w:rsidRDefault="00EF27EC" w:rsidP="00043D21">
      <w:pPr>
        <w:pStyle w:val="References"/>
      </w:pPr>
      <w:r w:rsidRPr="00C000B2">
        <w:t xml:space="preserve">Wechsler H, Nelson TF. 2010. Will </w:t>
      </w:r>
      <w:r w:rsidR="0027204C">
        <w:t>i</w:t>
      </w:r>
      <w:r w:rsidRPr="00C000B2">
        <w:t xml:space="preserve">ncreasing </w:t>
      </w:r>
      <w:r w:rsidR="0027204C">
        <w:t>a</w:t>
      </w:r>
      <w:r w:rsidRPr="00C000B2">
        <w:t xml:space="preserve">lcohol </w:t>
      </w:r>
      <w:r w:rsidR="0027204C">
        <w:t>a</w:t>
      </w:r>
      <w:r w:rsidRPr="00C000B2">
        <w:t xml:space="preserve">vailability </w:t>
      </w:r>
      <w:r w:rsidR="0027204C">
        <w:t>b</w:t>
      </w:r>
      <w:r w:rsidRPr="00C000B2">
        <w:t xml:space="preserve">y </w:t>
      </w:r>
      <w:r w:rsidR="0027204C">
        <w:t>l</w:t>
      </w:r>
      <w:r w:rsidRPr="00C000B2">
        <w:t xml:space="preserve">owering the </w:t>
      </w:r>
      <w:r w:rsidR="0027204C">
        <w:t>m</w:t>
      </w:r>
      <w:r w:rsidRPr="00C000B2">
        <w:t xml:space="preserve">inimum </w:t>
      </w:r>
      <w:r w:rsidR="0027204C">
        <w:t>l</w:t>
      </w:r>
      <w:r w:rsidRPr="00C000B2">
        <w:t xml:space="preserve">egal </w:t>
      </w:r>
      <w:r w:rsidR="0027204C">
        <w:t>d</w:t>
      </w:r>
      <w:r w:rsidRPr="00C000B2">
        <w:t xml:space="preserve">rinking </w:t>
      </w:r>
      <w:r w:rsidR="0027204C">
        <w:t>a</w:t>
      </w:r>
      <w:r w:rsidRPr="00C000B2">
        <w:t xml:space="preserve">ge </w:t>
      </w:r>
      <w:r w:rsidR="0027204C">
        <w:t>d</w:t>
      </w:r>
      <w:r w:rsidRPr="00C000B2">
        <w:t xml:space="preserve">ecrease </w:t>
      </w:r>
      <w:r w:rsidR="0027204C">
        <w:t>d</w:t>
      </w:r>
      <w:r w:rsidRPr="00C000B2">
        <w:t xml:space="preserve">rinking and </w:t>
      </w:r>
      <w:r w:rsidR="0027204C">
        <w:t>r</w:t>
      </w:r>
      <w:r w:rsidRPr="00C000B2">
        <w:t xml:space="preserve">elated </w:t>
      </w:r>
      <w:r w:rsidR="0027204C">
        <w:t>c</w:t>
      </w:r>
      <w:r w:rsidRPr="00C000B2">
        <w:t xml:space="preserve">onsequences </w:t>
      </w:r>
      <w:r w:rsidR="0027204C">
        <w:t>a</w:t>
      </w:r>
      <w:r w:rsidRPr="00C000B2">
        <w:t xml:space="preserve">mong </w:t>
      </w:r>
      <w:r w:rsidR="0027204C">
        <w:t>y</w:t>
      </w:r>
      <w:r w:rsidRPr="00C000B2">
        <w:t xml:space="preserve">ouths? </w:t>
      </w:r>
      <w:r w:rsidRPr="00C000B2">
        <w:rPr>
          <w:i/>
        </w:rPr>
        <w:t xml:space="preserve">American Journal of Public Health </w:t>
      </w:r>
      <w:r w:rsidRPr="00C000B2">
        <w:t>100(6): 986</w:t>
      </w:r>
      <w:r w:rsidR="0027204C">
        <w:t>–</w:t>
      </w:r>
      <w:r w:rsidRPr="00C000B2">
        <w:t>92.</w:t>
      </w:r>
    </w:p>
    <w:p w14:paraId="652C55DA" w14:textId="77777777" w:rsidR="00EF27EC" w:rsidRPr="00C000B2" w:rsidRDefault="00EF27EC" w:rsidP="00043D21">
      <w:pPr>
        <w:pStyle w:val="References"/>
      </w:pPr>
      <w:r w:rsidRPr="00C000B2">
        <w:t xml:space="preserve">Gruenewald P, </w:t>
      </w:r>
      <w:proofErr w:type="spellStart"/>
      <w:r w:rsidRPr="00C000B2">
        <w:t>Treno</w:t>
      </w:r>
      <w:proofErr w:type="spellEnd"/>
      <w:r w:rsidRPr="00C000B2">
        <w:t xml:space="preserve"> A, </w:t>
      </w:r>
      <w:proofErr w:type="spellStart"/>
      <w:r w:rsidRPr="00C000B2">
        <w:t>Ponicki</w:t>
      </w:r>
      <w:proofErr w:type="spellEnd"/>
      <w:r w:rsidRPr="00C000B2">
        <w:t xml:space="preserve"> W, et al. 2015. Impacts of New Zealand’s lowered minimum purchase age on context-specific drinking and related risks. </w:t>
      </w:r>
      <w:r w:rsidRPr="00C000B2">
        <w:rPr>
          <w:i/>
        </w:rPr>
        <w:t xml:space="preserve">Addiction </w:t>
      </w:r>
      <w:r w:rsidRPr="00C000B2">
        <w:t>110(11): 1757–66.</w:t>
      </w:r>
    </w:p>
    <w:p w14:paraId="70E6729F" w14:textId="77777777" w:rsidR="00EF27EC" w:rsidRPr="00C000B2" w:rsidRDefault="00EF27EC" w:rsidP="00043D21">
      <w:pPr>
        <w:pStyle w:val="References"/>
      </w:pPr>
      <w:r w:rsidRPr="00C000B2">
        <w:t xml:space="preserve">Jernigan D, Noel J, Landon J, et al. 2017. Alcohol marketing and youth alcohol consumption: a systematic review of longitudinal studies published since 2008. </w:t>
      </w:r>
      <w:r w:rsidRPr="00C000B2">
        <w:rPr>
          <w:i/>
        </w:rPr>
        <w:t xml:space="preserve">Addiction </w:t>
      </w:r>
      <w:r w:rsidRPr="00C000B2">
        <w:t>112: 7–20.</w:t>
      </w:r>
    </w:p>
    <w:p w14:paraId="53C82337" w14:textId="77777777" w:rsidR="00EF27EC" w:rsidRPr="00C000B2" w:rsidRDefault="00EF27EC" w:rsidP="0027204C">
      <w:pPr>
        <w:pStyle w:val="References"/>
        <w:keepNext/>
        <w:keepLines/>
      </w:pPr>
      <w:r w:rsidRPr="00C000B2">
        <w:lastRenderedPageBreak/>
        <w:t xml:space="preserve">Anderson P, De Bruijn A, Angus K, et al. 2009. Impact of alcohol advertising and media exposure on adolescent alcohol use: a systematic review of longitudinal studies. </w:t>
      </w:r>
      <w:r w:rsidRPr="00C000B2">
        <w:rPr>
          <w:i/>
        </w:rPr>
        <w:t xml:space="preserve">Alcohol and Alcoholism </w:t>
      </w:r>
      <w:r w:rsidRPr="00C000B2">
        <w:t>44(3): 229–43.</w:t>
      </w:r>
    </w:p>
    <w:p w14:paraId="3FFBCCB9" w14:textId="77777777" w:rsidR="00EF27EC" w:rsidRPr="00C000B2" w:rsidRDefault="00EF27EC" w:rsidP="00043D21">
      <w:pPr>
        <w:pStyle w:val="References"/>
      </w:pPr>
      <w:r w:rsidRPr="00C000B2">
        <w:t xml:space="preserve">Snyder LB, </w:t>
      </w:r>
      <w:proofErr w:type="spellStart"/>
      <w:r w:rsidRPr="00C000B2">
        <w:t>Milici</w:t>
      </w:r>
      <w:proofErr w:type="spellEnd"/>
      <w:r w:rsidRPr="00C000B2">
        <w:t xml:space="preserve"> FF, Slater M, et al. 2006. Effects of alcohol advertising exposure on drinking among youth.</w:t>
      </w:r>
      <w:r w:rsidR="00DC614D">
        <w:t xml:space="preserve"> </w:t>
      </w:r>
      <w:r w:rsidRPr="00DC614D">
        <w:rPr>
          <w:i/>
        </w:rPr>
        <w:t xml:space="preserve">Archives of </w:t>
      </w:r>
      <w:proofErr w:type="spellStart"/>
      <w:r w:rsidRPr="00DC614D">
        <w:rPr>
          <w:i/>
        </w:rPr>
        <w:t>Pediatrics</w:t>
      </w:r>
      <w:proofErr w:type="spellEnd"/>
      <w:r w:rsidRPr="00DC614D">
        <w:rPr>
          <w:i/>
        </w:rPr>
        <w:t xml:space="preserve"> &amp; Adolescent Medicine</w:t>
      </w:r>
      <w:r w:rsidR="00DC614D">
        <w:rPr>
          <w:i/>
        </w:rPr>
        <w:br/>
      </w:r>
      <w:r w:rsidRPr="00C000B2">
        <w:t>160(1): 18–24.</w:t>
      </w:r>
    </w:p>
    <w:p w14:paraId="39E9A395" w14:textId="77777777" w:rsidR="00EF27EC" w:rsidRPr="00C000B2" w:rsidRDefault="00EF27EC" w:rsidP="00043D21">
      <w:pPr>
        <w:pStyle w:val="References"/>
      </w:pPr>
      <w:r w:rsidRPr="00C000B2">
        <w:t>Brown K. 2016. Association between alcohol sports sponsorship and consumption: a systematic review.</w:t>
      </w:r>
      <w:r w:rsidR="00DC614D">
        <w:t xml:space="preserve"> </w:t>
      </w:r>
      <w:r w:rsidRPr="00DC614D">
        <w:rPr>
          <w:i/>
        </w:rPr>
        <w:t xml:space="preserve">Alcohol and Alcoholism </w:t>
      </w:r>
      <w:r w:rsidRPr="00C000B2">
        <w:t>51(6): 747–55. DOI: 10.1093/</w:t>
      </w:r>
      <w:proofErr w:type="spellStart"/>
      <w:r w:rsidRPr="00C000B2">
        <w:t>alcalc</w:t>
      </w:r>
      <w:proofErr w:type="spellEnd"/>
      <w:r w:rsidRPr="00C000B2">
        <w:t>/agw006 (accessed 28 October 2021).</w:t>
      </w:r>
    </w:p>
    <w:p w14:paraId="533564D1" w14:textId="77777777" w:rsidR="00EF27EC" w:rsidRPr="00C000B2" w:rsidRDefault="00EF27EC" w:rsidP="00043D21">
      <w:pPr>
        <w:pStyle w:val="References"/>
      </w:pPr>
      <w:r w:rsidRPr="00C000B2">
        <w:t xml:space="preserve">Chambers T, Stanley J, Signal L, et al. 2018. Quantifying the nature and extent of children’s real-time exposure to alcohol marketing in their everyday lives using wearable cameras: children’s exposure via a range of media in a range of key places. </w:t>
      </w:r>
      <w:r w:rsidRPr="00C000B2">
        <w:rPr>
          <w:i/>
        </w:rPr>
        <w:t xml:space="preserve">Alcohol and Alcoholism </w:t>
      </w:r>
      <w:r w:rsidRPr="00C000B2">
        <w:t>53(5): 626–33.</w:t>
      </w:r>
    </w:p>
    <w:p w14:paraId="42699006" w14:textId="77777777" w:rsidR="00EF27EC" w:rsidRPr="00C000B2" w:rsidRDefault="00EF27EC" w:rsidP="00043D21">
      <w:pPr>
        <w:pStyle w:val="References"/>
      </w:pPr>
      <w:r w:rsidRPr="00C000B2">
        <w:t xml:space="preserve">Chambers T, Pearson A, </w:t>
      </w:r>
      <w:proofErr w:type="spellStart"/>
      <w:r w:rsidRPr="00C000B2">
        <w:t>Kawachi</w:t>
      </w:r>
      <w:proofErr w:type="spellEnd"/>
      <w:r w:rsidRPr="00C000B2">
        <w:t xml:space="preserve"> I, et al. 2018. Children’s home and school neighbourhood exposure to alcohol marketing: using wearable camera and GPS data to directly examine the link between retailer availability and visual exposure to marketing. </w:t>
      </w:r>
      <w:r w:rsidRPr="00C000B2">
        <w:rPr>
          <w:i/>
        </w:rPr>
        <w:t xml:space="preserve">Health &amp; Place </w:t>
      </w:r>
      <w:r w:rsidRPr="00C000B2">
        <w:t>54: 102–9.</w:t>
      </w:r>
    </w:p>
    <w:p w14:paraId="66C717CF" w14:textId="77777777" w:rsidR="00EF27EC" w:rsidRPr="00C000B2" w:rsidRDefault="00EF27EC" w:rsidP="00043D21">
      <w:pPr>
        <w:pStyle w:val="References"/>
      </w:pPr>
      <w:r w:rsidRPr="00C000B2">
        <w:t xml:space="preserve">Noel JK, </w:t>
      </w:r>
      <w:proofErr w:type="spellStart"/>
      <w:r w:rsidRPr="00C000B2">
        <w:t>Babor</w:t>
      </w:r>
      <w:proofErr w:type="spellEnd"/>
      <w:r w:rsidRPr="00C000B2">
        <w:t xml:space="preserve"> TF. 2017. Does industry self-regulation protect young people from exposure to alcohol marketing? A review of compliance and complaint studies. </w:t>
      </w:r>
      <w:r w:rsidRPr="00C000B2">
        <w:rPr>
          <w:i/>
        </w:rPr>
        <w:t xml:space="preserve">Addiction </w:t>
      </w:r>
      <w:r w:rsidRPr="00C000B2">
        <w:t>112: 51–6.</w:t>
      </w:r>
    </w:p>
    <w:p w14:paraId="7EE95409" w14:textId="77777777" w:rsidR="00EF27EC" w:rsidRPr="00C000B2" w:rsidRDefault="00EF27EC" w:rsidP="00043D21">
      <w:pPr>
        <w:pStyle w:val="References"/>
      </w:pPr>
      <w:r w:rsidRPr="00C000B2">
        <w:t xml:space="preserve">Noel JK, </w:t>
      </w:r>
      <w:proofErr w:type="spellStart"/>
      <w:r w:rsidRPr="00C000B2">
        <w:t>Babor</w:t>
      </w:r>
      <w:proofErr w:type="spellEnd"/>
      <w:r w:rsidRPr="00C000B2">
        <w:t xml:space="preserve"> TF, </w:t>
      </w:r>
      <w:proofErr w:type="spellStart"/>
      <w:r w:rsidRPr="00C000B2">
        <w:t>Robaina</w:t>
      </w:r>
      <w:proofErr w:type="spellEnd"/>
      <w:r w:rsidRPr="00C000B2">
        <w:t xml:space="preserve"> K. 2017. Industry self-regulation of alcohol marketing: a systematic review of content and exposure research. </w:t>
      </w:r>
      <w:r w:rsidRPr="00C000B2">
        <w:rPr>
          <w:i/>
        </w:rPr>
        <w:t xml:space="preserve">Addiction </w:t>
      </w:r>
      <w:r w:rsidRPr="00C000B2">
        <w:t>112: 28–50.</w:t>
      </w:r>
    </w:p>
    <w:p w14:paraId="5849D66D" w14:textId="77777777" w:rsidR="00EF27EC" w:rsidRPr="00C000B2" w:rsidRDefault="00EF27EC" w:rsidP="00043D21">
      <w:pPr>
        <w:pStyle w:val="References"/>
      </w:pPr>
      <w:r w:rsidRPr="00C000B2">
        <w:t xml:space="preserve">WHO. 2018. </w:t>
      </w:r>
      <w:r w:rsidRPr="00C000B2">
        <w:rPr>
          <w:i/>
        </w:rPr>
        <w:t>Global status report on alcohol and health 2018</w:t>
      </w:r>
      <w:r w:rsidRPr="00C000B2">
        <w:t xml:space="preserve">. Geneva: World Health Organization. URL: </w:t>
      </w:r>
      <w:hyperlink r:id="rId135" w:history="1">
        <w:r w:rsidR="00DC614D" w:rsidRPr="00DC614D">
          <w:rPr>
            <w:rStyle w:val="Hyperlink"/>
          </w:rPr>
          <w:t>https://apps.who.int/iris/bitstream/handle/10665/274603/9789241565639-eng.pdf</w:t>
        </w:r>
      </w:hyperlink>
      <w:r w:rsidRPr="00C000B2">
        <w:t xml:space="preserve"> (accessed 10 January 2022).</w:t>
      </w:r>
    </w:p>
    <w:p w14:paraId="23B408DD" w14:textId="77777777" w:rsidR="00EF27EC" w:rsidRPr="00C000B2" w:rsidRDefault="00EF27EC" w:rsidP="00043D21">
      <w:pPr>
        <w:pStyle w:val="References"/>
      </w:pPr>
      <w:r w:rsidRPr="00C000B2">
        <w:t xml:space="preserve">WHO. 2020. </w:t>
      </w:r>
      <w:r w:rsidRPr="00C000B2">
        <w:rPr>
          <w:i/>
        </w:rPr>
        <w:t xml:space="preserve">Alcohol </w:t>
      </w:r>
      <w:r w:rsidR="00DC614D">
        <w:rPr>
          <w:i/>
        </w:rPr>
        <w:t>M</w:t>
      </w:r>
      <w:r w:rsidRPr="00C000B2">
        <w:rPr>
          <w:i/>
        </w:rPr>
        <w:t>arketing in the WHO European Region</w:t>
      </w:r>
      <w:r w:rsidR="00DC614D">
        <w:rPr>
          <w:i/>
        </w:rPr>
        <w:t>:</w:t>
      </w:r>
      <w:r w:rsidRPr="00C000B2">
        <w:rPr>
          <w:i/>
        </w:rPr>
        <w:t xml:space="preserve"> Update report on the evidence and recommended policy actions</w:t>
      </w:r>
      <w:r w:rsidRPr="00C000B2">
        <w:t xml:space="preserve">. Copenhagen: World Health Organization. URL: </w:t>
      </w:r>
      <w:hyperlink r:id="rId136" w:history="1">
        <w:r w:rsidR="00DC614D" w:rsidRPr="00DC614D">
          <w:rPr>
            <w:rStyle w:val="Hyperlink"/>
          </w:rPr>
          <w:t>https://apps.who.int/iris/bitstream/handle/10665/336178/WHO-EURO-2020-1266-41016-55678-eng.pdf?sequence=1&amp;isAllowed=y</w:t>
        </w:r>
      </w:hyperlink>
      <w:r w:rsidRPr="00C000B2">
        <w:t xml:space="preserve"> (accessed 10 January 2022).</w:t>
      </w:r>
    </w:p>
    <w:p w14:paraId="4CC4C407" w14:textId="77777777" w:rsidR="00EF27EC" w:rsidRPr="00C000B2" w:rsidRDefault="00EF27EC" w:rsidP="00043D21">
      <w:pPr>
        <w:pStyle w:val="References"/>
      </w:pPr>
      <w:r w:rsidRPr="00C000B2">
        <w:t xml:space="preserve">Advertising Standards Authority. 2020. </w:t>
      </w:r>
      <w:r w:rsidRPr="00DC614D">
        <w:rPr>
          <w:i/>
        </w:rPr>
        <w:t>Code for Advertising and Promotion of Alcohol</w:t>
      </w:r>
      <w:r w:rsidRPr="00C000B2">
        <w:t xml:space="preserve">. URL: </w:t>
      </w:r>
      <w:hyperlink r:id="rId137" w:history="1">
        <w:r w:rsidR="00DC614D" w:rsidRPr="00DC614D">
          <w:rPr>
            <w:rStyle w:val="Hyperlink"/>
          </w:rPr>
          <w:t>http://www.asa.co.nz/wp-content/uploads/2019/10/CODE-FOR-ADVERTISING-AND-PROMOTION-OF-ALCOHOL.pdf</w:t>
        </w:r>
      </w:hyperlink>
      <w:r w:rsidRPr="00C000B2">
        <w:t xml:space="preserve"> (accessed 26 October 2021).</w:t>
      </w:r>
    </w:p>
    <w:p w14:paraId="33A10DCC" w14:textId="77777777" w:rsidR="00EF27EC" w:rsidRPr="00C000B2" w:rsidRDefault="00EF27EC" w:rsidP="00043D21">
      <w:pPr>
        <w:pStyle w:val="References"/>
      </w:pPr>
      <w:r w:rsidRPr="00C000B2">
        <w:t xml:space="preserve">Jackson N, Cowie N, Robinson A. 2021. Ineffective, meaningless, inequitable: analysis of complaints to a voluntary alcohol advertising code. </w:t>
      </w:r>
      <w:r w:rsidRPr="00C000B2">
        <w:rPr>
          <w:i/>
        </w:rPr>
        <w:t xml:space="preserve">New Zealand Medical Journal </w:t>
      </w:r>
      <w:r w:rsidRPr="00C000B2">
        <w:t>134(1530): 118–22.</w:t>
      </w:r>
    </w:p>
    <w:p w14:paraId="449B0900" w14:textId="77777777" w:rsidR="00EF27EC" w:rsidRPr="00C000B2" w:rsidRDefault="00EF27EC" w:rsidP="00043D21">
      <w:pPr>
        <w:pStyle w:val="References"/>
      </w:pPr>
      <w:r w:rsidRPr="00C000B2">
        <w:t xml:space="preserve">Maynard K, Paton S. 2012. Increasing the use of alcohol screening and brief intervention in New Zealand. </w:t>
      </w:r>
      <w:proofErr w:type="spellStart"/>
      <w:r w:rsidRPr="00C000B2">
        <w:rPr>
          <w:i/>
        </w:rPr>
        <w:t>Kōtuitui</w:t>
      </w:r>
      <w:proofErr w:type="spellEnd"/>
      <w:r w:rsidRPr="00C000B2">
        <w:rPr>
          <w:i/>
        </w:rPr>
        <w:t xml:space="preserve">: New Zealand Journal of Social Sciences Online </w:t>
      </w:r>
      <w:r w:rsidRPr="00C000B2">
        <w:t>7(2): 72–82. DOI: 10.1080/1177083X.2012.725418 (accessed 29 October 2021).</w:t>
      </w:r>
    </w:p>
    <w:p w14:paraId="0AB52031" w14:textId="77777777" w:rsidR="00EF27EC" w:rsidRPr="00C000B2" w:rsidRDefault="00EF27EC" w:rsidP="00043D21">
      <w:pPr>
        <w:pStyle w:val="References"/>
      </w:pPr>
      <w:r w:rsidRPr="00C000B2">
        <w:t xml:space="preserve">McQueen J, Howe TE, Allan L, et al. 2011. Brief interventions for heavy alcohol users admitted to general hospital wards. </w:t>
      </w:r>
      <w:r w:rsidRPr="00C000B2">
        <w:rPr>
          <w:i/>
        </w:rPr>
        <w:t xml:space="preserve">Cochrane Database of Systematic Reviews </w:t>
      </w:r>
      <w:r w:rsidRPr="00C000B2">
        <w:t>(8).</w:t>
      </w:r>
    </w:p>
    <w:p w14:paraId="61A0AD73" w14:textId="77777777" w:rsidR="00EF27EC" w:rsidRPr="00C000B2" w:rsidRDefault="00EF27EC" w:rsidP="00043D21">
      <w:pPr>
        <w:pStyle w:val="References"/>
      </w:pPr>
      <w:r w:rsidRPr="00C000B2">
        <w:lastRenderedPageBreak/>
        <w:t xml:space="preserve">BPAC. 2018. </w:t>
      </w:r>
      <w:r w:rsidRPr="00DC614D">
        <w:rPr>
          <w:i/>
        </w:rPr>
        <w:t xml:space="preserve">Assessment and </w:t>
      </w:r>
      <w:r w:rsidR="00DC614D">
        <w:rPr>
          <w:i/>
        </w:rPr>
        <w:t>M</w:t>
      </w:r>
      <w:r w:rsidRPr="00DC614D">
        <w:rPr>
          <w:i/>
        </w:rPr>
        <w:t xml:space="preserve">anagement of </w:t>
      </w:r>
      <w:r w:rsidR="00DC614D">
        <w:rPr>
          <w:i/>
        </w:rPr>
        <w:t>A</w:t>
      </w:r>
      <w:r w:rsidRPr="00DC614D">
        <w:rPr>
          <w:i/>
        </w:rPr>
        <w:t xml:space="preserve">lcohol </w:t>
      </w:r>
      <w:r w:rsidR="00DC614D">
        <w:rPr>
          <w:i/>
        </w:rPr>
        <w:t>M</w:t>
      </w:r>
      <w:r w:rsidRPr="00DC614D">
        <w:rPr>
          <w:i/>
        </w:rPr>
        <w:t xml:space="preserve">isuse by </w:t>
      </w:r>
      <w:r w:rsidR="00DC614D">
        <w:rPr>
          <w:i/>
        </w:rPr>
        <w:t>P</w:t>
      </w:r>
      <w:r w:rsidRPr="00DC614D">
        <w:rPr>
          <w:i/>
        </w:rPr>
        <w:t xml:space="preserve">rimary </w:t>
      </w:r>
      <w:r w:rsidR="00DC614D">
        <w:rPr>
          <w:i/>
        </w:rPr>
        <w:t>C</w:t>
      </w:r>
      <w:r w:rsidRPr="00DC614D">
        <w:rPr>
          <w:i/>
        </w:rPr>
        <w:t>are</w:t>
      </w:r>
      <w:r w:rsidRPr="00C000B2">
        <w:rPr>
          <w:i/>
        </w:rPr>
        <w:t xml:space="preserve">. </w:t>
      </w:r>
      <w:r w:rsidRPr="00C000B2">
        <w:t xml:space="preserve">Best Practice Advisory Centre. URL: </w:t>
      </w:r>
      <w:hyperlink r:id="rId138" w:anchor="3" w:history="1">
        <w:r w:rsidR="00DC614D" w:rsidRPr="00DC614D">
          <w:rPr>
            <w:rStyle w:val="Hyperlink"/>
          </w:rPr>
          <w:t>https://bpac.org.nz/2018/alcohol.aspx#3</w:t>
        </w:r>
      </w:hyperlink>
      <w:r w:rsidRPr="00C000B2">
        <w:t xml:space="preserve"> (accessed 27</w:t>
      </w:r>
      <w:r w:rsidR="00DC614D">
        <w:t> </w:t>
      </w:r>
      <w:r w:rsidRPr="00C000B2">
        <w:t>October 2021).</w:t>
      </w:r>
    </w:p>
    <w:p w14:paraId="6C2AF0B6" w14:textId="77777777" w:rsidR="00EF27EC" w:rsidRPr="00C000B2" w:rsidRDefault="00EF27EC" w:rsidP="00043D21">
      <w:pPr>
        <w:pStyle w:val="References"/>
      </w:pPr>
      <w:r w:rsidRPr="00C000B2">
        <w:t xml:space="preserve">World Cancer Research Fund and American Institute for Cancer Research. 2018. </w:t>
      </w:r>
      <w:r w:rsidRPr="00C000B2">
        <w:rPr>
          <w:i/>
        </w:rPr>
        <w:t xml:space="preserve">Diet, Nutrition, Physical Activity and Cancer: A global perspective. Continuous Update Project Expert Report 2018. </w:t>
      </w:r>
      <w:r w:rsidRPr="00C000B2">
        <w:t xml:space="preserve">World Cancer Research Fund International. URL: </w:t>
      </w:r>
      <w:hyperlink r:id="rId139" w:history="1">
        <w:r w:rsidR="00DC614D" w:rsidRPr="00DC614D">
          <w:rPr>
            <w:rStyle w:val="Hyperlink"/>
          </w:rPr>
          <w:t>https://www.wcrf.org/sites/default/files/Summary-of-Third-Expert-Report-2018.pdf</w:t>
        </w:r>
      </w:hyperlink>
      <w:r w:rsidRPr="00C000B2">
        <w:t xml:space="preserve"> (accessed 26 October 2021).</w:t>
      </w:r>
    </w:p>
    <w:p w14:paraId="46617173" w14:textId="77777777" w:rsidR="00EF27EC" w:rsidRPr="00C000B2" w:rsidRDefault="00EF27EC" w:rsidP="00043D21">
      <w:pPr>
        <w:pStyle w:val="References"/>
      </w:pPr>
      <w:r w:rsidRPr="00C000B2">
        <w:t xml:space="preserve">IHME. 2019. </w:t>
      </w:r>
      <w:r w:rsidRPr="00C000B2">
        <w:rPr>
          <w:i/>
        </w:rPr>
        <w:t xml:space="preserve">Dietary </w:t>
      </w:r>
      <w:r w:rsidR="00DC614D">
        <w:rPr>
          <w:i/>
        </w:rPr>
        <w:t>R</w:t>
      </w:r>
      <w:r w:rsidRPr="00C000B2">
        <w:rPr>
          <w:i/>
        </w:rPr>
        <w:t>isks – Level 2 risk</w:t>
      </w:r>
      <w:r w:rsidRPr="00C000B2">
        <w:t xml:space="preserve">. Institute for Health Metrics and Evaluation. URL: </w:t>
      </w:r>
      <w:hyperlink r:id="rId140" w:history="1">
        <w:r w:rsidR="00DC614D" w:rsidRPr="00DC614D">
          <w:rPr>
            <w:rStyle w:val="Hyperlink"/>
          </w:rPr>
          <w:t>http://www.healthdata.org/results/gbd_summaries/2019/dietary-risks-level-2-risk</w:t>
        </w:r>
      </w:hyperlink>
      <w:r w:rsidRPr="00C000B2">
        <w:t xml:space="preserve"> (accessed 24 October 2021).</w:t>
      </w:r>
    </w:p>
    <w:p w14:paraId="234A2205" w14:textId="77777777" w:rsidR="00EF27EC" w:rsidRPr="00C000B2" w:rsidRDefault="00EF27EC" w:rsidP="00043D21">
      <w:pPr>
        <w:pStyle w:val="References"/>
      </w:pPr>
      <w:r w:rsidRPr="00C000B2">
        <w:t xml:space="preserve">Meredith I, Sarfati D, Ikeda T, et al. 2012. High rates of endometrial cancer among Pacific women in New Zealand: the role of diabetes, physical inactivity, and obesity. </w:t>
      </w:r>
      <w:r w:rsidRPr="00C000B2">
        <w:rPr>
          <w:i/>
        </w:rPr>
        <w:t xml:space="preserve">Cancer Causes &amp; Control </w:t>
      </w:r>
      <w:r w:rsidRPr="00C000B2">
        <w:t>23(6): 875–85. DOI: 10.1007/s10552-012-9956-3 (accessed 29 October 2021).</w:t>
      </w:r>
    </w:p>
    <w:p w14:paraId="6E07DA1A" w14:textId="77777777" w:rsidR="00EF27EC" w:rsidRPr="00C000B2" w:rsidRDefault="00EF27EC" w:rsidP="00043D21">
      <w:pPr>
        <w:pStyle w:val="References"/>
      </w:pPr>
      <w:r w:rsidRPr="00C000B2">
        <w:t xml:space="preserve">Scott OW, Tin </w:t>
      </w:r>
      <w:proofErr w:type="spellStart"/>
      <w:r w:rsidRPr="00C000B2">
        <w:t>Tin</w:t>
      </w:r>
      <w:proofErr w:type="spellEnd"/>
      <w:r w:rsidRPr="00C000B2">
        <w:t xml:space="preserve"> S, </w:t>
      </w:r>
      <w:proofErr w:type="spellStart"/>
      <w:r w:rsidRPr="00C000B2">
        <w:t>Bigby</w:t>
      </w:r>
      <w:proofErr w:type="spellEnd"/>
      <w:r w:rsidRPr="00C000B2">
        <w:t xml:space="preserve"> SM, et al. 2019. Rapid increase in endometrial cancer incidence and ethnic differences in New Zealand. </w:t>
      </w:r>
      <w:r w:rsidRPr="00C000B2">
        <w:rPr>
          <w:i/>
        </w:rPr>
        <w:t xml:space="preserve">Cancer Causes &amp; Control </w:t>
      </w:r>
      <w:r w:rsidRPr="00C000B2">
        <w:t>30(2):</w:t>
      </w:r>
      <w:r w:rsidR="00DC614D">
        <w:t> </w:t>
      </w:r>
      <w:r w:rsidRPr="00C000B2">
        <w:t>121–7. DOI: 10.1007/s10552-019-1129-1 (accessed 30 October 2021).</w:t>
      </w:r>
    </w:p>
    <w:p w14:paraId="3E4711CE" w14:textId="77777777" w:rsidR="00EF27EC" w:rsidRPr="00C000B2" w:rsidRDefault="00EF27EC" w:rsidP="00043D21">
      <w:pPr>
        <w:pStyle w:val="References"/>
      </w:pPr>
      <w:r w:rsidRPr="00C000B2">
        <w:t xml:space="preserve">Ministry of Health. 2020. </w:t>
      </w:r>
      <w:r w:rsidRPr="00C000B2">
        <w:rPr>
          <w:i/>
        </w:rPr>
        <w:t>Eating and Activity Guidelines for New Zealand Adults: Updated 2020</w:t>
      </w:r>
      <w:r w:rsidRPr="00C000B2">
        <w:t>. Wellington: Ministry of Health.</w:t>
      </w:r>
    </w:p>
    <w:p w14:paraId="4782D724" w14:textId="77777777" w:rsidR="00EF27EC" w:rsidRPr="00C000B2" w:rsidRDefault="00EF27EC" w:rsidP="00043D21">
      <w:pPr>
        <w:pStyle w:val="References"/>
      </w:pPr>
      <w:r w:rsidRPr="00C000B2">
        <w:t xml:space="preserve">OECD. 2021. Overweight or obese population. URL: </w:t>
      </w:r>
      <w:hyperlink r:id="rId141" w:history="1">
        <w:r w:rsidR="00DC614D" w:rsidRPr="0078291A">
          <w:rPr>
            <w:rStyle w:val="Hyperlink"/>
          </w:rPr>
          <w:t>https://data.oecd.org/healthrisk/overweight-or-obese-population.htm</w:t>
        </w:r>
      </w:hyperlink>
      <w:r w:rsidRPr="00C000B2">
        <w:t xml:space="preserve"> (accessed 30</w:t>
      </w:r>
      <w:r w:rsidR="00DC614D">
        <w:t> </w:t>
      </w:r>
      <w:r w:rsidRPr="00C000B2">
        <w:t>October 2021).</w:t>
      </w:r>
    </w:p>
    <w:p w14:paraId="0184489D" w14:textId="77777777" w:rsidR="00EF27EC" w:rsidRPr="00C000B2" w:rsidRDefault="00EF27EC" w:rsidP="00043D21">
      <w:pPr>
        <w:pStyle w:val="References"/>
      </w:pPr>
      <w:r w:rsidRPr="00C000B2">
        <w:t xml:space="preserve">UNICEF. 2019. </w:t>
      </w:r>
      <w:r w:rsidRPr="00C000B2">
        <w:rPr>
          <w:i/>
        </w:rPr>
        <w:t>The State of the World’s Children 2019. Children, Food and Nutrition: Growing well in a changing world</w:t>
      </w:r>
      <w:r w:rsidRPr="00C000B2">
        <w:t>. New York: UNICEF.</w:t>
      </w:r>
    </w:p>
    <w:p w14:paraId="4AE25BEB" w14:textId="77777777" w:rsidR="00EF27EC" w:rsidRPr="00C000B2" w:rsidRDefault="00EF27EC" w:rsidP="00043D21">
      <w:pPr>
        <w:pStyle w:val="References"/>
      </w:pPr>
      <w:r w:rsidRPr="00C000B2">
        <w:t xml:space="preserve">Hawkes C, Jewell J, Allen K. 2013. A food policy package for healthy diets and the prevention of obesity and diet-related non-communicable diseases: the NOURISHING framework. </w:t>
      </w:r>
      <w:r w:rsidRPr="00C000B2">
        <w:rPr>
          <w:i/>
        </w:rPr>
        <w:t xml:space="preserve">Obesity Reviews </w:t>
      </w:r>
      <w:r w:rsidRPr="00C000B2">
        <w:t>14: 159–68.</w:t>
      </w:r>
    </w:p>
    <w:p w14:paraId="68ED18A4" w14:textId="77777777" w:rsidR="00EF27EC" w:rsidRPr="00C000B2" w:rsidRDefault="00EF27EC" w:rsidP="00043D21">
      <w:pPr>
        <w:pStyle w:val="References"/>
      </w:pPr>
      <w:r w:rsidRPr="00C000B2">
        <w:t xml:space="preserve">Swinburn BA, Sacks G, Hall KD, et al. 2011. The global obesity pandemic: shaped by global drivers and local environments. </w:t>
      </w:r>
      <w:r w:rsidRPr="00C000B2">
        <w:rPr>
          <w:i/>
        </w:rPr>
        <w:t xml:space="preserve">The Lancet </w:t>
      </w:r>
      <w:r w:rsidRPr="00C000B2">
        <w:t>378(9793): 804–14.</w:t>
      </w:r>
    </w:p>
    <w:p w14:paraId="6AD741D0" w14:textId="77777777" w:rsidR="00EF27EC" w:rsidRPr="00C000B2" w:rsidRDefault="00EF27EC" w:rsidP="00043D21">
      <w:pPr>
        <w:pStyle w:val="References"/>
      </w:pPr>
      <w:r w:rsidRPr="00C000B2">
        <w:t xml:space="preserve">Signal L, Stanley J, Smith M, et al. 2017. Children’s everyday exposure to food marketing: an objective analysis using wearable cameras. </w:t>
      </w:r>
      <w:r w:rsidRPr="00C000B2">
        <w:rPr>
          <w:i/>
        </w:rPr>
        <w:t xml:space="preserve">International Journal of </w:t>
      </w:r>
      <w:proofErr w:type="spellStart"/>
      <w:r w:rsidRPr="00C000B2">
        <w:rPr>
          <w:i/>
        </w:rPr>
        <w:t>Behavioral</w:t>
      </w:r>
      <w:proofErr w:type="spellEnd"/>
      <w:r w:rsidRPr="00C000B2">
        <w:rPr>
          <w:i/>
        </w:rPr>
        <w:t xml:space="preserve"> Nutrition and Physical Activity </w:t>
      </w:r>
      <w:r w:rsidRPr="00C000B2">
        <w:t>14(1): 137.</w:t>
      </w:r>
    </w:p>
    <w:p w14:paraId="5F04BA87" w14:textId="77777777" w:rsidR="00EF27EC" w:rsidRPr="00C000B2" w:rsidRDefault="00EF27EC" w:rsidP="00043D21">
      <w:pPr>
        <w:pStyle w:val="References"/>
      </w:pPr>
      <w:r w:rsidRPr="00C000B2">
        <w:t xml:space="preserve">Signal L, personal communication, </w:t>
      </w:r>
      <w:r w:rsidR="00DC614D">
        <w:t xml:space="preserve">16 </w:t>
      </w:r>
      <w:r w:rsidRPr="00C000B2">
        <w:t>September 2021.</w:t>
      </w:r>
    </w:p>
    <w:p w14:paraId="5374B185" w14:textId="77777777" w:rsidR="00EF27EC" w:rsidRPr="00C000B2" w:rsidRDefault="00EF27EC" w:rsidP="00043D21">
      <w:pPr>
        <w:pStyle w:val="References"/>
      </w:pPr>
      <w:r w:rsidRPr="00C000B2">
        <w:t xml:space="preserve">Signal L, Barr M, Smith M. 2018. </w:t>
      </w:r>
      <w:r w:rsidRPr="00C000B2">
        <w:rPr>
          <w:i/>
        </w:rPr>
        <w:t>Evidence Snapshot</w:t>
      </w:r>
      <w:r w:rsidR="00DC614D">
        <w:rPr>
          <w:i/>
        </w:rPr>
        <w:t>:</w:t>
      </w:r>
      <w:r w:rsidRPr="00C000B2">
        <w:rPr>
          <w:i/>
        </w:rPr>
        <w:t xml:space="preserve"> What </w:t>
      </w:r>
      <w:r w:rsidR="00DC614D">
        <w:rPr>
          <w:i/>
        </w:rPr>
        <w:t>c</w:t>
      </w:r>
      <w:r w:rsidRPr="00C000B2">
        <w:rPr>
          <w:i/>
        </w:rPr>
        <w:t xml:space="preserve">an be </w:t>
      </w:r>
      <w:r w:rsidR="00DC614D">
        <w:rPr>
          <w:i/>
        </w:rPr>
        <w:t>d</w:t>
      </w:r>
      <w:r w:rsidRPr="00C000B2">
        <w:rPr>
          <w:i/>
        </w:rPr>
        <w:t xml:space="preserve">one to </w:t>
      </w:r>
      <w:r w:rsidR="00DC614D">
        <w:rPr>
          <w:i/>
        </w:rPr>
        <w:t>p</w:t>
      </w:r>
      <w:r w:rsidRPr="00C000B2">
        <w:rPr>
          <w:i/>
        </w:rPr>
        <w:t xml:space="preserve">rotect </w:t>
      </w:r>
      <w:r w:rsidR="00DC614D">
        <w:rPr>
          <w:i/>
        </w:rPr>
        <w:t>o</w:t>
      </w:r>
      <w:r w:rsidRPr="00C000B2">
        <w:rPr>
          <w:i/>
        </w:rPr>
        <w:t xml:space="preserve">ur </w:t>
      </w:r>
      <w:r w:rsidR="00DC614D">
        <w:rPr>
          <w:i/>
        </w:rPr>
        <w:t>c</w:t>
      </w:r>
      <w:r w:rsidRPr="00C000B2">
        <w:rPr>
          <w:i/>
        </w:rPr>
        <w:t xml:space="preserve">hildren from </w:t>
      </w:r>
      <w:r w:rsidR="00DC614D">
        <w:rPr>
          <w:i/>
        </w:rPr>
        <w:t>u</w:t>
      </w:r>
      <w:r w:rsidRPr="00C000B2">
        <w:rPr>
          <w:i/>
        </w:rPr>
        <w:t xml:space="preserve">nhealthy </w:t>
      </w:r>
      <w:r w:rsidR="00DC614D">
        <w:rPr>
          <w:i/>
        </w:rPr>
        <w:t>fo</w:t>
      </w:r>
      <w:r w:rsidRPr="00C000B2">
        <w:rPr>
          <w:i/>
        </w:rPr>
        <w:t xml:space="preserve">od </w:t>
      </w:r>
      <w:r w:rsidR="00DC614D">
        <w:rPr>
          <w:i/>
        </w:rPr>
        <w:t>m</w:t>
      </w:r>
      <w:r w:rsidRPr="00C000B2">
        <w:rPr>
          <w:i/>
        </w:rPr>
        <w:t xml:space="preserve">arketing? </w:t>
      </w:r>
      <w:r w:rsidRPr="00C000B2">
        <w:t xml:space="preserve">Activity and Nutrition Aotearoa and the Auckland Regional Public Health Service. URL: </w:t>
      </w:r>
      <w:hyperlink r:id="rId142" w:history="1">
        <w:r w:rsidR="00DC614D" w:rsidRPr="00DC614D">
          <w:rPr>
            <w:rStyle w:val="Hyperlink"/>
          </w:rPr>
          <w:t>https://healthyaucklandtogether.org.nz/assets/Marketing-to-children/Evidence-Snapshot.pdf</w:t>
        </w:r>
      </w:hyperlink>
      <w:r w:rsidRPr="00C000B2">
        <w:t xml:space="preserve"> (accessed 27 October 2021).</w:t>
      </w:r>
    </w:p>
    <w:p w14:paraId="3ECB2B69" w14:textId="77777777" w:rsidR="00EF27EC" w:rsidRPr="00C000B2" w:rsidRDefault="00EF27EC" w:rsidP="00043D21">
      <w:pPr>
        <w:pStyle w:val="References"/>
      </w:pPr>
      <w:r w:rsidRPr="00C000B2">
        <w:t xml:space="preserve">Smith R, Kelly B, </w:t>
      </w:r>
      <w:proofErr w:type="spellStart"/>
      <w:r w:rsidRPr="00C000B2">
        <w:t>Yeatman</w:t>
      </w:r>
      <w:proofErr w:type="spellEnd"/>
      <w:r w:rsidRPr="00C000B2">
        <w:t xml:space="preserve"> H, et al. 2019. Food marketing influences children’s attitudes, </w:t>
      </w:r>
      <w:proofErr w:type="gramStart"/>
      <w:r w:rsidRPr="00C000B2">
        <w:t>preferences</w:t>
      </w:r>
      <w:proofErr w:type="gramEnd"/>
      <w:r w:rsidRPr="00C000B2">
        <w:t xml:space="preserve"> and consumption: a systematic critical review. </w:t>
      </w:r>
      <w:r w:rsidRPr="00C000B2">
        <w:rPr>
          <w:i/>
        </w:rPr>
        <w:t xml:space="preserve">Nutrients </w:t>
      </w:r>
      <w:r w:rsidRPr="00C000B2">
        <w:t>11(4): 875.</w:t>
      </w:r>
    </w:p>
    <w:p w14:paraId="134D2ACC" w14:textId="77777777" w:rsidR="00EF27EC" w:rsidRPr="00C000B2" w:rsidRDefault="00EF27EC" w:rsidP="00043D21">
      <w:pPr>
        <w:pStyle w:val="References"/>
      </w:pPr>
      <w:r w:rsidRPr="00C000B2">
        <w:lastRenderedPageBreak/>
        <w:t xml:space="preserve">Halford JC, </w:t>
      </w:r>
      <w:proofErr w:type="spellStart"/>
      <w:r w:rsidRPr="00C000B2">
        <w:t>Boyland</w:t>
      </w:r>
      <w:proofErr w:type="spellEnd"/>
      <w:r w:rsidRPr="00C000B2">
        <w:t xml:space="preserve"> EJ, Hughes GM, et al. 2008. Beyond-brand effect of television food advertisements on food choice in children: the effects of weight status. </w:t>
      </w:r>
      <w:r w:rsidRPr="00C000B2">
        <w:rPr>
          <w:i/>
        </w:rPr>
        <w:t xml:space="preserve">Public Health Nutrition </w:t>
      </w:r>
      <w:r w:rsidRPr="00C000B2">
        <w:t>11(9): 897–904.</w:t>
      </w:r>
    </w:p>
    <w:p w14:paraId="126F8ACF" w14:textId="77777777" w:rsidR="00EF27EC" w:rsidRPr="00C000B2" w:rsidRDefault="00EF27EC" w:rsidP="00043D21">
      <w:pPr>
        <w:pStyle w:val="References"/>
      </w:pPr>
      <w:r w:rsidRPr="00C000B2">
        <w:t xml:space="preserve">Halford JC, Gillespie J, Brown V, et al. 2004. Effect of television advertisements for foods on food consumption in children. </w:t>
      </w:r>
      <w:r w:rsidRPr="00C000B2">
        <w:rPr>
          <w:i/>
        </w:rPr>
        <w:t xml:space="preserve">Appetite </w:t>
      </w:r>
      <w:r w:rsidRPr="00C000B2">
        <w:t>42(2): 221–5.</w:t>
      </w:r>
    </w:p>
    <w:p w14:paraId="5C2CF19A" w14:textId="77777777" w:rsidR="00EF27EC" w:rsidRPr="00C000B2" w:rsidRDefault="00EF27EC" w:rsidP="00043D21">
      <w:pPr>
        <w:pStyle w:val="References"/>
      </w:pPr>
      <w:proofErr w:type="spellStart"/>
      <w:r w:rsidRPr="00C000B2">
        <w:t>Boyland</w:t>
      </w:r>
      <w:proofErr w:type="spellEnd"/>
      <w:r w:rsidRPr="00C000B2">
        <w:t xml:space="preserve"> EJ, Nolan S, Kelly B, et al. 2016. Advertising as a cue to consume: a systematic review and meta- analysis of the effects of acute exposure to unhealthy food and </w:t>
      </w:r>
      <w:proofErr w:type="spellStart"/>
      <w:r w:rsidRPr="00C000B2">
        <w:t>nonalcoholic</w:t>
      </w:r>
      <w:proofErr w:type="spellEnd"/>
      <w:r w:rsidRPr="00C000B2">
        <w:t xml:space="preserve"> beverage advertising on intake in children and adults, 2. </w:t>
      </w:r>
      <w:r w:rsidRPr="00C000B2">
        <w:rPr>
          <w:i/>
        </w:rPr>
        <w:t xml:space="preserve">The American Journal of Clinical Nutrition </w:t>
      </w:r>
      <w:r w:rsidRPr="00C000B2">
        <w:t>103(2): 519–33.</w:t>
      </w:r>
    </w:p>
    <w:p w14:paraId="433D88F2" w14:textId="77777777" w:rsidR="00EF27EC" w:rsidRPr="00C000B2" w:rsidRDefault="00EF27EC" w:rsidP="00043D21">
      <w:pPr>
        <w:pStyle w:val="References"/>
      </w:pPr>
      <w:r w:rsidRPr="00C000B2">
        <w:t xml:space="preserve">Kelly B, King L, Chapman K, et al. 2015. A hierarchy of unhealthy food promotion effects: identifying methodological approaches and knowledge gaps. </w:t>
      </w:r>
      <w:r w:rsidRPr="00C000B2">
        <w:rPr>
          <w:i/>
        </w:rPr>
        <w:t xml:space="preserve">American Journal of Public Health </w:t>
      </w:r>
      <w:r w:rsidRPr="00C000B2">
        <w:t>105(4): e86–e95.</w:t>
      </w:r>
    </w:p>
    <w:p w14:paraId="2ABB8A40" w14:textId="77777777" w:rsidR="00EF27EC" w:rsidRPr="00C000B2" w:rsidRDefault="00EF27EC" w:rsidP="00043D21">
      <w:pPr>
        <w:pStyle w:val="References"/>
      </w:pPr>
      <w:r w:rsidRPr="00C000B2">
        <w:t xml:space="preserve">Garde A, Byrne S, </w:t>
      </w:r>
      <w:proofErr w:type="spellStart"/>
      <w:r w:rsidRPr="00C000B2">
        <w:t>Gokani</w:t>
      </w:r>
      <w:proofErr w:type="spellEnd"/>
      <w:r w:rsidRPr="00C000B2">
        <w:t xml:space="preserve"> N, et al. 2018. </w:t>
      </w:r>
      <w:r w:rsidRPr="00C000B2">
        <w:rPr>
          <w:i/>
        </w:rPr>
        <w:t xml:space="preserve">A Child Rights-based Approach to Food Marketing: A guide for policy makers. </w:t>
      </w:r>
      <w:r w:rsidRPr="00C000B2">
        <w:t xml:space="preserve">United Nations Children’s Fund (UNICEF). URL: </w:t>
      </w:r>
      <w:hyperlink r:id="rId143" w:history="1">
        <w:r w:rsidR="00DC614D" w:rsidRPr="00DC614D">
          <w:rPr>
            <w:rStyle w:val="Hyperlink"/>
          </w:rPr>
          <w:t>https://www.unicef.org/csr/files/A_Child_Rights-Based_Approach_to_Food_Marketing_Report.pdf</w:t>
        </w:r>
      </w:hyperlink>
      <w:r w:rsidRPr="00C000B2">
        <w:t xml:space="preserve"> (accessed 27 October 2021).</w:t>
      </w:r>
    </w:p>
    <w:p w14:paraId="77B38706" w14:textId="77777777" w:rsidR="00EF27EC" w:rsidRPr="00C000B2" w:rsidRDefault="00EF27EC" w:rsidP="00043D21">
      <w:pPr>
        <w:pStyle w:val="References"/>
      </w:pPr>
      <w:proofErr w:type="spellStart"/>
      <w:r w:rsidRPr="00C000B2">
        <w:t>Vukmirovic</w:t>
      </w:r>
      <w:proofErr w:type="spellEnd"/>
      <w:r w:rsidRPr="00C000B2">
        <w:t xml:space="preserve"> M. 2015. The effects of food advertising on food-related behaviours and perceptions in adults: a review. </w:t>
      </w:r>
      <w:r w:rsidRPr="00C000B2">
        <w:rPr>
          <w:i/>
        </w:rPr>
        <w:t xml:space="preserve">Food Research International </w:t>
      </w:r>
      <w:r w:rsidRPr="00C000B2">
        <w:t>75: 13–9. DOI: 10.1016/j.foodres.2015.05.011 (accessed 30 October 2021).</w:t>
      </w:r>
    </w:p>
    <w:p w14:paraId="3D4FDFD9" w14:textId="77777777" w:rsidR="00EF27EC" w:rsidRPr="00C000B2" w:rsidRDefault="00EF27EC" w:rsidP="00043D21">
      <w:pPr>
        <w:pStyle w:val="References"/>
      </w:pPr>
      <w:proofErr w:type="spellStart"/>
      <w:r w:rsidRPr="00C000B2">
        <w:t>Carpentier</w:t>
      </w:r>
      <w:proofErr w:type="spellEnd"/>
      <w:r w:rsidRPr="00C000B2">
        <w:t xml:space="preserve"> FRD, Correa T, Reyes M, et al. 2020. Evaluating the impact of Chile’s marketing regulation of unhealthy foods and beverages: preschool and adolescent children’s changes in exposure to food advertising on television. </w:t>
      </w:r>
      <w:r w:rsidRPr="00C000B2">
        <w:rPr>
          <w:i/>
        </w:rPr>
        <w:t xml:space="preserve">Public Health Nutrition </w:t>
      </w:r>
      <w:r w:rsidRPr="00C000B2">
        <w:t>23(4): 747.</w:t>
      </w:r>
    </w:p>
    <w:p w14:paraId="3C4B6C9C" w14:textId="77777777" w:rsidR="00EF27EC" w:rsidRPr="00C000B2" w:rsidRDefault="00EF27EC" w:rsidP="00043D21">
      <w:pPr>
        <w:pStyle w:val="References"/>
      </w:pPr>
      <w:proofErr w:type="spellStart"/>
      <w:r w:rsidRPr="00C000B2">
        <w:t>Mediano</w:t>
      </w:r>
      <w:proofErr w:type="spellEnd"/>
      <w:r w:rsidRPr="00C000B2">
        <w:t xml:space="preserve"> </w:t>
      </w:r>
      <w:proofErr w:type="spellStart"/>
      <w:r w:rsidRPr="00C000B2">
        <w:t>Stoltze</w:t>
      </w:r>
      <w:proofErr w:type="spellEnd"/>
      <w:r w:rsidRPr="00C000B2">
        <w:t xml:space="preserve"> F, Reyes M, Smith TL, et al. 2019. Prevalence of child-directed marketing on breakfast cereal packages before and after </w:t>
      </w:r>
      <w:r w:rsidR="00DC614D">
        <w:t>C</w:t>
      </w:r>
      <w:r w:rsidRPr="00C000B2">
        <w:t xml:space="preserve">hile’s food marketing law: a pre- and post-quantitative content analysis. </w:t>
      </w:r>
      <w:r w:rsidRPr="00C000B2">
        <w:rPr>
          <w:i/>
        </w:rPr>
        <w:t xml:space="preserve">International Journal of Environmental Research and Public Health </w:t>
      </w:r>
      <w:r w:rsidRPr="00C000B2">
        <w:t>16(22): 4501.</w:t>
      </w:r>
    </w:p>
    <w:p w14:paraId="34928247" w14:textId="77777777" w:rsidR="00EF27EC" w:rsidRPr="00C000B2" w:rsidRDefault="00EF27EC" w:rsidP="00043D21">
      <w:pPr>
        <w:pStyle w:val="References"/>
      </w:pPr>
      <w:r w:rsidRPr="00C000B2">
        <w:t xml:space="preserve">Sing F, Mackay S, </w:t>
      </w:r>
      <w:proofErr w:type="spellStart"/>
      <w:r w:rsidRPr="00C000B2">
        <w:t>Culpin</w:t>
      </w:r>
      <w:proofErr w:type="spellEnd"/>
      <w:r w:rsidRPr="00C000B2">
        <w:t xml:space="preserve"> A, et al. 2020. Food advertising to children in New Zealand: a critical review of the performance of a self-regulatory complaints system using a public health law framework. </w:t>
      </w:r>
      <w:r w:rsidRPr="00C000B2">
        <w:rPr>
          <w:i/>
        </w:rPr>
        <w:t xml:space="preserve">Nutrients </w:t>
      </w:r>
      <w:r w:rsidRPr="00C000B2">
        <w:t>12(5): 1278.</w:t>
      </w:r>
    </w:p>
    <w:p w14:paraId="739C9CF4" w14:textId="77777777" w:rsidR="00EF27EC" w:rsidRPr="00C000B2" w:rsidRDefault="00EF27EC" w:rsidP="00043D21">
      <w:pPr>
        <w:pStyle w:val="References"/>
      </w:pPr>
      <w:proofErr w:type="spellStart"/>
      <w:r w:rsidRPr="00C000B2">
        <w:t>Kovic</w:t>
      </w:r>
      <w:proofErr w:type="spellEnd"/>
      <w:r w:rsidRPr="00C000B2">
        <w:t xml:space="preserve"> Y, Noel JK, </w:t>
      </w:r>
      <w:proofErr w:type="spellStart"/>
      <w:r w:rsidRPr="00C000B2">
        <w:t>Ungemack</w:t>
      </w:r>
      <w:proofErr w:type="spellEnd"/>
      <w:r w:rsidRPr="00C000B2">
        <w:t xml:space="preserve"> J, et al. 2018. The impact of junk food marketing regulations on food sales: an ecological study. </w:t>
      </w:r>
      <w:r w:rsidRPr="00C000B2">
        <w:rPr>
          <w:i/>
        </w:rPr>
        <w:t xml:space="preserve">Obesity Reviews </w:t>
      </w:r>
      <w:r w:rsidRPr="00C000B2">
        <w:t>19(6): 761–9.</w:t>
      </w:r>
    </w:p>
    <w:p w14:paraId="5A3E4190" w14:textId="77777777" w:rsidR="00EF27EC" w:rsidRPr="00C000B2" w:rsidRDefault="00EF27EC" w:rsidP="00043D21">
      <w:pPr>
        <w:pStyle w:val="References"/>
      </w:pPr>
      <w:r w:rsidRPr="00C000B2">
        <w:t xml:space="preserve">Mackay S, Sing F, Gerritsen S, et al. 2020. </w:t>
      </w:r>
      <w:r w:rsidRPr="00C000B2">
        <w:rPr>
          <w:i/>
        </w:rPr>
        <w:t xml:space="preserve">Benchmarking Food Environments 2020: Progress by the New Zealand Government on implementing recommended food environment policies </w:t>
      </w:r>
      <w:r w:rsidR="00DC614D">
        <w:rPr>
          <w:i/>
        </w:rPr>
        <w:t>and</w:t>
      </w:r>
      <w:r w:rsidRPr="00C000B2">
        <w:rPr>
          <w:i/>
        </w:rPr>
        <w:t xml:space="preserve"> priority recommendations. </w:t>
      </w:r>
      <w:r w:rsidRPr="00C000B2">
        <w:t>Auckland: The University of Auckland.</w:t>
      </w:r>
    </w:p>
    <w:p w14:paraId="21661425" w14:textId="77777777" w:rsidR="00EF27EC" w:rsidRPr="00C000B2" w:rsidRDefault="00EF27EC" w:rsidP="00043D21">
      <w:pPr>
        <w:pStyle w:val="References"/>
      </w:pPr>
      <w:r w:rsidRPr="00C000B2">
        <w:t>Galbraith-</w:t>
      </w:r>
      <w:proofErr w:type="spellStart"/>
      <w:r w:rsidRPr="00C000B2">
        <w:t>Emami</w:t>
      </w:r>
      <w:proofErr w:type="spellEnd"/>
      <w:r w:rsidRPr="00C000B2">
        <w:t xml:space="preserve"> S, </w:t>
      </w:r>
      <w:proofErr w:type="spellStart"/>
      <w:r w:rsidRPr="00C000B2">
        <w:t>Lobstein</w:t>
      </w:r>
      <w:proofErr w:type="spellEnd"/>
      <w:r w:rsidRPr="00C000B2">
        <w:t xml:space="preserve"> T. 2013. The impact of initiatives to limit the advertising of food and beverage products to children: a systematic review. </w:t>
      </w:r>
      <w:r w:rsidRPr="00C000B2">
        <w:rPr>
          <w:i/>
        </w:rPr>
        <w:t xml:space="preserve">Obesity Reviews </w:t>
      </w:r>
      <w:r w:rsidRPr="00C000B2">
        <w:t>14(12): 960–74.</w:t>
      </w:r>
    </w:p>
    <w:p w14:paraId="641F9952" w14:textId="77777777" w:rsidR="00EF27EC" w:rsidRPr="00C000B2" w:rsidRDefault="00EF27EC" w:rsidP="00043D21">
      <w:pPr>
        <w:pStyle w:val="References"/>
      </w:pPr>
      <w:r w:rsidRPr="00C000B2">
        <w:t xml:space="preserve">McGill B, Sweeting J, </w:t>
      </w:r>
      <w:proofErr w:type="spellStart"/>
      <w:r w:rsidRPr="00C000B2">
        <w:t>Surkalim</w:t>
      </w:r>
      <w:proofErr w:type="spellEnd"/>
      <w:r w:rsidRPr="00C000B2">
        <w:t xml:space="preserve"> D, et al. 2020. </w:t>
      </w:r>
      <w:r w:rsidRPr="00C000B2">
        <w:rPr>
          <w:i/>
        </w:rPr>
        <w:t>New Developments in the Prevention of Obesity among Children and Young People Aged 0–18 Years: Rapid evidence review update</w:t>
      </w:r>
      <w:r w:rsidRPr="00C000B2">
        <w:t>. Sydney: Physical Activity Nutrition Obesity Research Group, The University of Sydney.</w:t>
      </w:r>
    </w:p>
    <w:p w14:paraId="2B49BC60" w14:textId="77777777" w:rsidR="00EF27EC" w:rsidRPr="00C000B2" w:rsidRDefault="00EF27EC" w:rsidP="00043D21">
      <w:pPr>
        <w:pStyle w:val="References"/>
      </w:pPr>
      <w:r w:rsidRPr="00C000B2">
        <w:lastRenderedPageBreak/>
        <w:t xml:space="preserve">Department of Health and Social Care and Department for Digital, Culture, Media &amp; Sport. 2021. </w:t>
      </w:r>
      <w:r w:rsidRPr="00C000B2">
        <w:rPr>
          <w:i/>
        </w:rPr>
        <w:t xml:space="preserve">Consultation Outcome: Introducing a total online advertising restriction for products high in fat, </w:t>
      </w:r>
      <w:proofErr w:type="gramStart"/>
      <w:r w:rsidRPr="00C000B2">
        <w:rPr>
          <w:i/>
        </w:rPr>
        <w:t>sugar</w:t>
      </w:r>
      <w:proofErr w:type="gramEnd"/>
      <w:r w:rsidRPr="00C000B2">
        <w:rPr>
          <w:i/>
        </w:rPr>
        <w:t xml:space="preserve"> and salt (HFSS)</w:t>
      </w:r>
      <w:r w:rsidRPr="00C000B2">
        <w:t xml:space="preserve">. UK Government. URL: </w:t>
      </w:r>
      <w:hyperlink r:id="rId144" w:anchor="fnref:7" w:history="1">
        <w:r w:rsidR="00DC614D" w:rsidRPr="00DC614D">
          <w:rPr>
            <w:rStyle w:val="Hyperlink"/>
          </w:rPr>
          <w:t>https://www.gov.uk/government/consultations/total-restriction-of-online-advertising-for-products-high-in-fat-sugar-and-salt-hfss/introducing-a-total-online-advertising-restriction-for-products-high-in-fat-sugar-and-salt-hfss#fnref:7</w:t>
        </w:r>
      </w:hyperlink>
      <w:r w:rsidRPr="00C000B2">
        <w:t xml:space="preserve"> (accessed 27 October 2021).</w:t>
      </w:r>
    </w:p>
    <w:p w14:paraId="46CC83B2" w14:textId="77777777" w:rsidR="00EF27EC" w:rsidRPr="00C000B2" w:rsidRDefault="00EF27EC" w:rsidP="00043D21">
      <w:pPr>
        <w:pStyle w:val="References"/>
      </w:pPr>
      <w:r w:rsidRPr="00C000B2">
        <w:t xml:space="preserve">Department of Health and Social Care and Department for Digital, Culture, Media &amp; Sport. 2020. Press release: New public consultation on total ban of online advertising for unhealthy foods. URL: </w:t>
      </w:r>
      <w:hyperlink r:id="rId145" w:history="1">
        <w:r w:rsidR="00DC614D" w:rsidRPr="00DC614D">
          <w:rPr>
            <w:rStyle w:val="Hyperlink"/>
          </w:rPr>
          <w:t>https://www.gov.uk/government/news/new-public-consultation-on-total-ban-of-online-advertising-for-unhealthy-foods</w:t>
        </w:r>
      </w:hyperlink>
      <w:r w:rsidRPr="00C000B2">
        <w:t xml:space="preserve"> (accessed 27 October 2021).</w:t>
      </w:r>
    </w:p>
    <w:p w14:paraId="2EE50ED2" w14:textId="77777777" w:rsidR="00EF27EC" w:rsidRPr="00C000B2" w:rsidRDefault="00EF27EC" w:rsidP="00043D21">
      <w:pPr>
        <w:pStyle w:val="References"/>
      </w:pPr>
      <w:r w:rsidRPr="00C000B2">
        <w:t xml:space="preserve">Advertising Standards Authority. 2019. Children and Young People’s Advertising Code. URL: </w:t>
      </w:r>
      <w:hyperlink r:id="rId146" w:history="1">
        <w:r w:rsidR="00DC614D" w:rsidRPr="00DC614D">
          <w:rPr>
            <w:rStyle w:val="Hyperlink"/>
          </w:rPr>
          <w:t>https://www.asa.co.nz/codes/codes/children-and-young-people/</w:t>
        </w:r>
      </w:hyperlink>
      <w:r w:rsidRPr="00C000B2">
        <w:t xml:space="preserve"> (accessed 26 October 2021).</w:t>
      </w:r>
    </w:p>
    <w:p w14:paraId="247648E3" w14:textId="77777777" w:rsidR="00EF27EC" w:rsidRPr="00C000B2" w:rsidRDefault="00EF27EC" w:rsidP="00043D21">
      <w:pPr>
        <w:pStyle w:val="References"/>
      </w:pPr>
      <w:r w:rsidRPr="00C000B2">
        <w:t xml:space="preserve">Chapman K, </w:t>
      </w:r>
      <w:proofErr w:type="spellStart"/>
      <w:r w:rsidRPr="00C000B2">
        <w:t>Goldsbury</w:t>
      </w:r>
      <w:proofErr w:type="spellEnd"/>
      <w:r w:rsidRPr="00C000B2">
        <w:t xml:space="preserve"> D, Watson W, et al. 2017. Exploring perceptions and beliefs about the cost of fruit and vegetables and whether they are barriers to higher consumption. </w:t>
      </w:r>
      <w:r w:rsidRPr="00C000B2">
        <w:rPr>
          <w:i/>
        </w:rPr>
        <w:t xml:space="preserve">Appetite </w:t>
      </w:r>
      <w:r w:rsidRPr="00C000B2">
        <w:t>113: 310–9.</w:t>
      </w:r>
    </w:p>
    <w:p w14:paraId="68D6E196" w14:textId="77777777" w:rsidR="00EF27EC" w:rsidRPr="00C000B2" w:rsidRDefault="00EF27EC" w:rsidP="00043D21">
      <w:pPr>
        <w:pStyle w:val="References"/>
      </w:pPr>
      <w:proofErr w:type="spellStart"/>
      <w:r w:rsidRPr="00C000B2">
        <w:t>Krølner</w:t>
      </w:r>
      <w:proofErr w:type="spellEnd"/>
      <w:r w:rsidRPr="00C000B2">
        <w:t xml:space="preserve"> R, Rasmussen M, </w:t>
      </w:r>
      <w:proofErr w:type="spellStart"/>
      <w:r w:rsidRPr="00C000B2">
        <w:t>Brug</w:t>
      </w:r>
      <w:proofErr w:type="spellEnd"/>
      <w:r w:rsidRPr="00C000B2">
        <w:t xml:space="preserve"> J, et al. 2011. Determinants of fruit and vegetable consumption among children and adolescents: a review of the literature. Part II: qualitative studies. </w:t>
      </w:r>
      <w:r w:rsidRPr="00C000B2">
        <w:rPr>
          <w:i/>
        </w:rPr>
        <w:t xml:space="preserve">International Journal of </w:t>
      </w:r>
      <w:proofErr w:type="spellStart"/>
      <w:r w:rsidRPr="00C000B2">
        <w:rPr>
          <w:i/>
        </w:rPr>
        <w:t>Behavioral</w:t>
      </w:r>
      <w:proofErr w:type="spellEnd"/>
      <w:r w:rsidRPr="00C000B2">
        <w:rPr>
          <w:i/>
        </w:rPr>
        <w:t xml:space="preserve"> Nutrition and Physical Activity </w:t>
      </w:r>
      <w:r w:rsidRPr="00C000B2">
        <w:t>8(1): 1–38.</w:t>
      </w:r>
    </w:p>
    <w:p w14:paraId="16992F61" w14:textId="77777777" w:rsidR="00EF27EC" w:rsidRPr="00C000B2" w:rsidRDefault="00EF27EC" w:rsidP="00043D21">
      <w:pPr>
        <w:pStyle w:val="References"/>
      </w:pPr>
      <w:r w:rsidRPr="00C000B2">
        <w:t xml:space="preserve">Rasmussen M, </w:t>
      </w:r>
      <w:proofErr w:type="spellStart"/>
      <w:r w:rsidRPr="00C000B2">
        <w:t>Krølner</w:t>
      </w:r>
      <w:proofErr w:type="spellEnd"/>
      <w:r w:rsidRPr="00C000B2">
        <w:t xml:space="preserve"> R, </w:t>
      </w:r>
      <w:proofErr w:type="spellStart"/>
      <w:r w:rsidRPr="00C000B2">
        <w:t>Klepp</w:t>
      </w:r>
      <w:proofErr w:type="spellEnd"/>
      <w:r w:rsidRPr="00C000B2">
        <w:t xml:space="preserve"> K-I, et al. 2006. Determinants of fruit and vegetable consumption among children and adolescents: a review of the literature. Part I: quantitative studies. </w:t>
      </w:r>
      <w:r w:rsidRPr="00C000B2">
        <w:rPr>
          <w:i/>
        </w:rPr>
        <w:t xml:space="preserve">International Journal of </w:t>
      </w:r>
      <w:proofErr w:type="spellStart"/>
      <w:r w:rsidRPr="00C000B2">
        <w:rPr>
          <w:i/>
        </w:rPr>
        <w:t>Behavioral</w:t>
      </w:r>
      <w:proofErr w:type="spellEnd"/>
      <w:r w:rsidRPr="00C000B2">
        <w:rPr>
          <w:i/>
        </w:rPr>
        <w:t xml:space="preserve"> Nutrition and Physical Activity </w:t>
      </w:r>
      <w:r w:rsidRPr="00C000B2">
        <w:t>3(1): 1–19.</w:t>
      </w:r>
    </w:p>
    <w:p w14:paraId="0DBB67B2" w14:textId="77777777" w:rsidR="00EF27EC" w:rsidRPr="00C000B2" w:rsidRDefault="00EF27EC" w:rsidP="00043D21">
      <w:pPr>
        <w:pStyle w:val="References"/>
      </w:pPr>
      <w:r w:rsidRPr="00C000B2">
        <w:t xml:space="preserve">Teng A, Jones A, </w:t>
      </w:r>
      <w:proofErr w:type="spellStart"/>
      <w:r w:rsidRPr="00C000B2">
        <w:t>Mizdrak</w:t>
      </w:r>
      <w:proofErr w:type="spellEnd"/>
      <w:r w:rsidRPr="00C000B2">
        <w:t xml:space="preserve"> A, et al. 2019. Impact of sugar-sweetened beverage taxes on purchases and dietary intake: systematic review and meta-analysis. </w:t>
      </w:r>
      <w:r w:rsidRPr="00C000B2">
        <w:rPr>
          <w:i/>
        </w:rPr>
        <w:t xml:space="preserve">Obesity Reviews </w:t>
      </w:r>
      <w:r w:rsidRPr="00C000B2">
        <w:t>20(9): 1187–204.</w:t>
      </w:r>
    </w:p>
    <w:p w14:paraId="6985C7C4" w14:textId="77777777" w:rsidR="00EF27EC" w:rsidRPr="00C000B2" w:rsidRDefault="00EF27EC" w:rsidP="00043D21">
      <w:pPr>
        <w:pStyle w:val="References"/>
      </w:pPr>
      <w:r w:rsidRPr="00C000B2">
        <w:t xml:space="preserve">WHO. 2016. </w:t>
      </w:r>
      <w:r w:rsidRPr="00C000B2">
        <w:rPr>
          <w:i/>
        </w:rPr>
        <w:t>Fiscal Policies for Diet and Prevention of Non</w:t>
      </w:r>
      <w:r w:rsidR="00DC614D">
        <w:rPr>
          <w:i/>
        </w:rPr>
        <w:t>-</w:t>
      </w:r>
      <w:r w:rsidRPr="00C000B2">
        <w:rPr>
          <w:i/>
        </w:rPr>
        <w:t xml:space="preserve">communicable Diseases. </w:t>
      </w:r>
      <w:r w:rsidRPr="00C000B2">
        <w:t xml:space="preserve">Geneva: World Health Organization. URL: </w:t>
      </w:r>
      <w:hyperlink r:id="rId147" w:history="1">
        <w:r w:rsidR="00DC614D" w:rsidRPr="00DC614D">
          <w:rPr>
            <w:rStyle w:val="Hyperlink"/>
          </w:rPr>
          <w:t>https://apps.who.int/iris/bitstream/handle/10665/250131/9789241511247-eng.pdf;jsessionid=8D83E6DD03C1634251363798AFD9B045?sequence=1</w:t>
        </w:r>
      </w:hyperlink>
      <w:r w:rsidRPr="00C000B2">
        <w:t xml:space="preserve"> (accessed 30</w:t>
      </w:r>
      <w:r w:rsidR="00961B35">
        <w:t> </w:t>
      </w:r>
      <w:r w:rsidRPr="00C000B2">
        <w:t>October 2021).</w:t>
      </w:r>
    </w:p>
    <w:p w14:paraId="4C4D9B92" w14:textId="77777777" w:rsidR="00EF27EC" w:rsidRPr="00C000B2" w:rsidRDefault="00EF27EC" w:rsidP="00043D21">
      <w:pPr>
        <w:pStyle w:val="References"/>
      </w:pPr>
      <w:r w:rsidRPr="00C000B2">
        <w:t xml:space="preserve">Wilson N, </w:t>
      </w:r>
      <w:proofErr w:type="spellStart"/>
      <w:r w:rsidRPr="00C000B2">
        <w:t>Morenga</w:t>
      </w:r>
      <w:proofErr w:type="spellEnd"/>
      <w:r w:rsidRPr="00C000B2">
        <w:t xml:space="preserve"> LT, Mackay S, et al. 2020. Food taxes and subsidies to protect health: relevance to Aotearoa New Zealand. </w:t>
      </w:r>
      <w:r w:rsidRPr="00C000B2">
        <w:rPr>
          <w:i/>
        </w:rPr>
        <w:t xml:space="preserve">New Zealand Medical Journal </w:t>
      </w:r>
      <w:r w:rsidRPr="00C000B2">
        <w:t>133(1511): 71–85.</w:t>
      </w:r>
    </w:p>
    <w:p w14:paraId="5856030F" w14:textId="77777777" w:rsidR="00EF27EC" w:rsidRPr="00C000B2" w:rsidRDefault="00EF27EC" w:rsidP="00043D21">
      <w:pPr>
        <w:pStyle w:val="References"/>
      </w:pPr>
      <w:proofErr w:type="spellStart"/>
      <w:r w:rsidRPr="00C000B2">
        <w:t>Niebylski</w:t>
      </w:r>
      <w:proofErr w:type="spellEnd"/>
      <w:r w:rsidRPr="00C000B2">
        <w:t xml:space="preserve"> ML, Redburn KA, </w:t>
      </w:r>
      <w:proofErr w:type="spellStart"/>
      <w:r w:rsidRPr="00C000B2">
        <w:t>Duhaney</w:t>
      </w:r>
      <w:proofErr w:type="spellEnd"/>
      <w:r w:rsidRPr="00C000B2">
        <w:t xml:space="preserve"> T, et al. 2015. Healthy food subsidies and unhealthy food taxation: a systematic review of the evidence. </w:t>
      </w:r>
      <w:r w:rsidRPr="00C000B2">
        <w:rPr>
          <w:i/>
        </w:rPr>
        <w:t>Nutrition</w:t>
      </w:r>
      <w:r w:rsidR="00961B35">
        <w:br/>
      </w:r>
      <w:r w:rsidRPr="00C000B2">
        <w:t>31(6): 787–95. DOI: 10.1016/j.nut.2014.12.010 (accessed 30 October 2021).</w:t>
      </w:r>
    </w:p>
    <w:p w14:paraId="76C03A2D" w14:textId="77777777" w:rsidR="00EF27EC" w:rsidRPr="00C000B2" w:rsidRDefault="00EF27EC" w:rsidP="00043D21">
      <w:pPr>
        <w:pStyle w:val="References"/>
      </w:pPr>
      <w:r w:rsidRPr="00C000B2">
        <w:t xml:space="preserve">Afshin A, </w:t>
      </w:r>
      <w:proofErr w:type="spellStart"/>
      <w:r w:rsidRPr="00C000B2">
        <w:t>Peñalvo</w:t>
      </w:r>
      <w:proofErr w:type="spellEnd"/>
      <w:r w:rsidRPr="00C000B2">
        <w:t xml:space="preserve"> JL, Del Gobbo L, et al. 2017. The prospective impact of food pricing on improving dietary consumption: a systematic review and meta-analysis. </w:t>
      </w:r>
      <w:r w:rsidRPr="00C000B2">
        <w:rPr>
          <w:i/>
        </w:rPr>
        <w:t xml:space="preserve">PLOS One </w:t>
      </w:r>
      <w:r w:rsidRPr="00C000B2">
        <w:t>12(3): e0172277. DOI: 10.1371/journal. pone.0172277 (accessed 26 October 2021).</w:t>
      </w:r>
    </w:p>
    <w:p w14:paraId="4784C77C" w14:textId="77777777" w:rsidR="00EF27EC" w:rsidRPr="00C000B2" w:rsidRDefault="00EF27EC" w:rsidP="00043D21">
      <w:pPr>
        <w:pStyle w:val="References"/>
      </w:pPr>
      <w:r w:rsidRPr="00C000B2">
        <w:lastRenderedPageBreak/>
        <w:t xml:space="preserve">Browne J, Lock M, Walker T, et al. 2020. Effects of food policy actions on </w:t>
      </w:r>
      <w:r w:rsidR="00961B35">
        <w:t>i</w:t>
      </w:r>
      <w:r w:rsidRPr="00C000B2">
        <w:t xml:space="preserve">ndigenous </w:t>
      </w:r>
      <w:r w:rsidR="00961B35">
        <w:t>p</w:t>
      </w:r>
      <w:r w:rsidRPr="00C000B2">
        <w:t xml:space="preserve">eoples’ nutrition-related outcomes: a systematic review. </w:t>
      </w:r>
      <w:r w:rsidRPr="00C000B2">
        <w:rPr>
          <w:i/>
        </w:rPr>
        <w:t xml:space="preserve">BMJ Global Health </w:t>
      </w:r>
      <w:r w:rsidRPr="00C000B2">
        <w:t>5(8):</w:t>
      </w:r>
      <w:r w:rsidR="00961B35">
        <w:t> </w:t>
      </w:r>
      <w:r w:rsidRPr="00C000B2">
        <w:t>e002442.</w:t>
      </w:r>
    </w:p>
    <w:p w14:paraId="4BE5B2B1" w14:textId="77777777" w:rsidR="00EF27EC" w:rsidRPr="00C000B2" w:rsidRDefault="00EF27EC" w:rsidP="00043D21">
      <w:pPr>
        <w:pStyle w:val="References"/>
      </w:pPr>
      <w:r w:rsidRPr="00C000B2">
        <w:t xml:space="preserve">Ni </w:t>
      </w:r>
      <w:proofErr w:type="spellStart"/>
      <w:r w:rsidRPr="00C000B2">
        <w:t>Mhurchu</w:t>
      </w:r>
      <w:proofErr w:type="spellEnd"/>
      <w:r w:rsidRPr="00C000B2">
        <w:t xml:space="preserve"> C, </w:t>
      </w:r>
      <w:proofErr w:type="spellStart"/>
      <w:r w:rsidRPr="00C000B2">
        <w:t>Eyles</w:t>
      </w:r>
      <w:proofErr w:type="spellEnd"/>
      <w:r w:rsidRPr="00C000B2">
        <w:t xml:space="preserve"> H, </w:t>
      </w:r>
      <w:proofErr w:type="spellStart"/>
      <w:r w:rsidRPr="00C000B2">
        <w:t>Genc</w:t>
      </w:r>
      <w:proofErr w:type="spellEnd"/>
      <w:r w:rsidRPr="00C000B2">
        <w:t xml:space="preserve"> M, et al. 2015. Effects of </w:t>
      </w:r>
      <w:r w:rsidR="00961B35">
        <w:t>h</w:t>
      </w:r>
      <w:r w:rsidRPr="00C000B2">
        <w:t>ealth-</w:t>
      </w:r>
      <w:r w:rsidR="00961B35">
        <w:t>r</w:t>
      </w:r>
      <w:r w:rsidRPr="00C000B2">
        <w:t xml:space="preserve">elated </w:t>
      </w:r>
      <w:r w:rsidR="00961B35">
        <w:t>f</w:t>
      </w:r>
      <w:r w:rsidRPr="00C000B2">
        <w:t xml:space="preserve">ood </w:t>
      </w:r>
      <w:r w:rsidR="00961B35">
        <w:t>t</w:t>
      </w:r>
      <w:r w:rsidRPr="00C000B2">
        <w:t xml:space="preserve">axes and </w:t>
      </w:r>
      <w:r w:rsidR="00961B35">
        <w:t>s</w:t>
      </w:r>
      <w:r w:rsidRPr="00C000B2">
        <w:t xml:space="preserve">ubsidies on </w:t>
      </w:r>
      <w:r w:rsidR="00961B35">
        <w:t>m</w:t>
      </w:r>
      <w:r w:rsidRPr="00C000B2">
        <w:t xml:space="preserve">ortality from </w:t>
      </w:r>
      <w:r w:rsidR="00961B35">
        <w:t>d</w:t>
      </w:r>
      <w:r w:rsidRPr="00C000B2">
        <w:t>iet-</w:t>
      </w:r>
      <w:r w:rsidR="00961B35">
        <w:t>r</w:t>
      </w:r>
      <w:r w:rsidRPr="00C000B2">
        <w:t xml:space="preserve">elated </w:t>
      </w:r>
      <w:r w:rsidR="00961B35">
        <w:t>d</w:t>
      </w:r>
      <w:r w:rsidRPr="00C000B2">
        <w:t xml:space="preserve">isease in New Zealand: </w:t>
      </w:r>
      <w:r w:rsidR="00961B35">
        <w:t>a</w:t>
      </w:r>
      <w:r w:rsidRPr="00C000B2">
        <w:t xml:space="preserve">n </w:t>
      </w:r>
      <w:r w:rsidR="00961B35">
        <w:t>e</w:t>
      </w:r>
      <w:r w:rsidRPr="00C000B2">
        <w:t>conometric-</w:t>
      </w:r>
      <w:r w:rsidR="00961B35">
        <w:t>e</w:t>
      </w:r>
      <w:r w:rsidRPr="00C000B2">
        <w:t xml:space="preserve">pidemiologic </w:t>
      </w:r>
      <w:r w:rsidR="00961B35">
        <w:t>m</w:t>
      </w:r>
      <w:r w:rsidRPr="00C000B2">
        <w:t xml:space="preserve">odelling </w:t>
      </w:r>
      <w:r w:rsidR="00961B35">
        <w:t>s</w:t>
      </w:r>
      <w:r w:rsidRPr="00C000B2">
        <w:t xml:space="preserve">tudy. </w:t>
      </w:r>
      <w:r w:rsidRPr="00C000B2">
        <w:rPr>
          <w:i/>
        </w:rPr>
        <w:t xml:space="preserve">PLOS One </w:t>
      </w:r>
      <w:r w:rsidRPr="00C000B2">
        <w:t>10(7): e0128477.</w:t>
      </w:r>
    </w:p>
    <w:p w14:paraId="4605178D" w14:textId="77777777" w:rsidR="00EF27EC" w:rsidRPr="00C000B2" w:rsidRDefault="00EF27EC" w:rsidP="00043D21">
      <w:pPr>
        <w:pStyle w:val="References"/>
      </w:pPr>
      <w:r w:rsidRPr="00C000B2">
        <w:t xml:space="preserve">Blakely T, Cleghorn C, </w:t>
      </w:r>
      <w:proofErr w:type="spellStart"/>
      <w:r w:rsidRPr="00C000B2">
        <w:t>Mizdrak</w:t>
      </w:r>
      <w:proofErr w:type="spellEnd"/>
      <w:r w:rsidRPr="00C000B2">
        <w:t xml:space="preserve"> A et al. 2020. The effect of food taxes and subsidies on popul</w:t>
      </w:r>
      <w:r w:rsidR="00961B35">
        <w:t>ation health and health costs: a</w:t>
      </w:r>
      <w:r w:rsidRPr="00C000B2">
        <w:t xml:space="preserve"> modelling study. </w:t>
      </w:r>
      <w:r w:rsidRPr="00C000B2">
        <w:rPr>
          <w:i/>
        </w:rPr>
        <w:t xml:space="preserve">The Lancet Public Health </w:t>
      </w:r>
      <w:r w:rsidRPr="00C000B2">
        <w:t>5(7): e404</w:t>
      </w:r>
      <w:r w:rsidR="00961B35">
        <w:t>–</w:t>
      </w:r>
      <w:r w:rsidRPr="00C000B2">
        <w:t>e413</w:t>
      </w:r>
      <w:r w:rsidR="00961B35">
        <w:t>.</w:t>
      </w:r>
    </w:p>
    <w:p w14:paraId="4C65619A" w14:textId="77777777" w:rsidR="00EF27EC" w:rsidRPr="00C000B2" w:rsidRDefault="00EF27EC" w:rsidP="00043D21">
      <w:pPr>
        <w:pStyle w:val="References"/>
      </w:pPr>
      <w:r w:rsidRPr="00C000B2">
        <w:t xml:space="preserve">Hashem K, Feng H, MacGregor G. 2019. Labelling changes in response to a tax on sugar-sweetened beverages, United Kingdom of Great </w:t>
      </w:r>
      <w:proofErr w:type="gramStart"/>
      <w:r w:rsidRPr="00C000B2">
        <w:t>Britain</w:t>
      </w:r>
      <w:proofErr w:type="gramEnd"/>
      <w:r w:rsidRPr="00C000B2">
        <w:t xml:space="preserve"> and Northern Ireland. </w:t>
      </w:r>
      <w:r w:rsidRPr="00C000B2">
        <w:rPr>
          <w:i/>
        </w:rPr>
        <w:t xml:space="preserve">Bulletin of the World Health Organization </w:t>
      </w:r>
      <w:r w:rsidRPr="00C000B2">
        <w:t>97(12):818</w:t>
      </w:r>
      <w:r w:rsidR="00961B35">
        <w:t>–</w:t>
      </w:r>
      <w:r w:rsidRPr="00C000B2">
        <w:t>27.</w:t>
      </w:r>
    </w:p>
    <w:p w14:paraId="685E2191" w14:textId="77777777" w:rsidR="00EF27EC" w:rsidRPr="00C000B2" w:rsidRDefault="00EF27EC" w:rsidP="00043D21">
      <w:pPr>
        <w:pStyle w:val="References"/>
      </w:pPr>
      <w:r w:rsidRPr="00C000B2">
        <w:t xml:space="preserve">WHO Regional Office for Europe. 2015. </w:t>
      </w:r>
      <w:r w:rsidRPr="00C000B2">
        <w:rPr>
          <w:i/>
        </w:rPr>
        <w:t xml:space="preserve">Public </w:t>
      </w:r>
      <w:r w:rsidR="00961B35">
        <w:rPr>
          <w:i/>
        </w:rPr>
        <w:t>H</w:t>
      </w:r>
      <w:r w:rsidRPr="00C000B2">
        <w:rPr>
          <w:i/>
        </w:rPr>
        <w:t xml:space="preserve">ealth </w:t>
      </w:r>
      <w:r w:rsidR="00961B35">
        <w:rPr>
          <w:i/>
        </w:rPr>
        <w:t>P</w:t>
      </w:r>
      <w:r w:rsidRPr="00C000B2">
        <w:rPr>
          <w:i/>
        </w:rPr>
        <w:t xml:space="preserve">roduct </w:t>
      </w:r>
      <w:r w:rsidR="00961B35">
        <w:rPr>
          <w:i/>
        </w:rPr>
        <w:t>T</w:t>
      </w:r>
      <w:r w:rsidRPr="00C000B2">
        <w:rPr>
          <w:i/>
        </w:rPr>
        <w:t>ax in Hungary: An example of successful intersectoral action using a fiscal tool to promote healthier food choices and raise revenues for public health</w:t>
      </w:r>
      <w:r w:rsidRPr="00C000B2">
        <w:t xml:space="preserve">. World Health Organization Regional Office for Europe. URL: </w:t>
      </w:r>
      <w:hyperlink r:id="rId148" w:history="1">
        <w:r w:rsidR="00961B35" w:rsidRPr="00961B35">
          <w:rPr>
            <w:rStyle w:val="Hyperlink"/>
          </w:rPr>
          <w:t>https://www.euro.who.int/data/assets/pdf_file/0004/287095/Good-practice-brief-public-health-product-tax-in-hungary.pdf</w:t>
        </w:r>
      </w:hyperlink>
      <w:r w:rsidRPr="00C000B2">
        <w:t xml:space="preserve"> (accessed 27 October 2021).</w:t>
      </w:r>
    </w:p>
    <w:p w14:paraId="7E3AA298" w14:textId="77777777" w:rsidR="00EF27EC" w:rsidRPr="00C000B2" w:rsidRDefault="00EF27EC" w:rsidP="00043D21">
      <w:pPr>
        <w:pStyle w:val="References"/>
      </w:pPr>
      <w:proofErr w:type="spellStart"/>
      <w:r w:rsidRPr="00C000B2">
        <w:t>Batis</w:t>
      </w:r>
      <w:proofErr w:type="spellEnd"/>
      <w:r w:rsidRPr="00C000B2">
        <w:t xml:space="preserve"> C, Rivera JA, Popkin BM, et al. 2016. First-year evaluation of Mexico’s tax on nonessential energy-dense foods: an observational study. </w:t>
      </w:r>
      <w:r w:rsidRPr="00C000B2">
        <w:rPr>
          <w:i/>
        </w:rPr>
        <w:t xml:space="preserve">PLOS Medicine </w:t>
      </w:r>
      <w:r w:rsidRPr="00C000B2">
        <w:t>13(7):</w:t>
      </w:r>
      <w:r w:rsidR="00961B35">
        <w:t> </w:t>
      </w:r>
      <w:r w:rsidRPr="00C000B2">
        <w:t>e1002057. DOI: 10.1371/journal.pmed.1002057 (accessed 27 October 2021).</w:t>
      </w:r>
    </w:p>
    <w:p w14:paraId="2A7CA924" w14:textId="77777777" w:rsidR="00EF27EC" w:rsidRPr="00C000B2" w:rsidRDefault="00EF27EC" w:rsidP="00043D21">
      <w:pPr>
        <w:pStyle w:val="References"/>
      </w:pPr>
      <w:r w:rsidRPr="00C000B2">
        <w:t xml:space="preserve">Obesity Evidence Hub. 2021. </w:t>
      </w:r>
      <w:r w:rsidRPr="00961B35">
        <w:rPr>
          <w:i/>
        </w:rPr>
        <w:t>Prevention: Tax and Pricing: Countries that have taxes on sugar-sweetened beverages (SSBs)</w:t>
      </w:r>
      <w:r w:rsidRPr="00C000B2">
        <w:t xml:space="preserve">. URL: </w:t>
      </w:r>
      <w:hyperlink r:id="rId149" w:history="1">
        <w:r w:rsidR="00961B35" w:rsidRPr="00961B35">
          <w:rPr>
            <w:rStyle w:val="Hyperlink"/>
          </w:rPr>
          <w:t>https://www.obesityevidencehub.org.au/collections/prevention/countries-that-have-implemented-taxes-on-sugar-sweetened-beverages-ssbs</w:t>
        </w:r>
      </w:hyperlink>
      <w:r w:rsidRPr="00C000B2">
        <w:t xml:space="preserve"> (accessed 30</w:t>
      </w:r>
      <w:r w:rsidR="00961B35">
        <w:t> </w:t>
      </w:r>
      <w:r w:rsidRPr="00C000B2">
        <w:t>October 2021).</w:t>
      </w:r>
    </w:p>
    <w:p w14:paraId="0B7190BD" w14:textId="77777777" w:rsidR="00EF27EC" w:rsidRPr="00C000B2" w:rsidRDefault="00EF27EC" w:rsidP="00043D21">
      <w:pPr>
        <w:pStyle w:val="References"/>
      </w:pPr>
      <w:r w:rsidRPr="00C000B2">
        <w:t xml:space="preserve">Watts C. 2018. </w:t>
      </w:r>
      <w:r w:rsidRPr="00C000B2">
        <w:rPr>
          <w:i/>
        </w:rPr>
        <w:t>External Evaluation of Fruit in Schools Final Report. Prepared for 5+</w:t>
      </w:r>
      <w:r w:rsidR="00961B35">
        <w:rPr>
          <w:i/>
        </w:rPr>
        <w:t> </w:t>
      </w:r>
      <w:r w:rsidRPr="00C000B2">
        <w:rPr>
          <w:i/>
        </w:rPr>
        <w:t>A Day Charitable Trust</w:t>
      </w:r>
      <w:r w:rsidRPr="00C000B2">
        <w:t xml:space="preserve">. 5+ A Day Charitable Trust. URL: </w:t>
      </w:r>
      <w:hyperlink r:id="rId150" w:history="1">
        <w:r w:rsidR="00961B35" w:rsidRPr="00961B35">
          <w:rPr>
            <w:rStyle w:val="Hyperlink"/>
          </w:rPr>
          <w:t>http://www.5aday.co.nz/media/213674/final-fruit-vegetables-in-schools-research-report-august-2018.pdf</w:t>
        </w:r>
      </w:hyperlink>
      <w:r w:rsidRPr="00C000B2">
        <w:t xml:space="preserve"> (accessed 30 October 2021).</w:t>
      </w:r>
    </w:p>
    <w:p w14:paraId="1ECA6127" w14:textId="77777777" w:rsidR="00EF27EC" w:rsidRPr="00C000B2" w:rsidRDefault="00EF27EC" w:rsidP="00043D21">
      <w:pPr>
        <w:pStyle w:val="References"/>
      </w:pPr>
      <w:proofErr w:type="spellStart"/>
      <w:r w:rsidRPr="00C000B2">
        <w:t>Vandevijvere</w:t>
      </w:r>
      <w:proofErr w:type="spellEnd"/>
      <w:r w:rsidRPr="00C000B2">
        <w:t xml:space="preserve"> S, Sushil Z, Exeter DJ, et al. 2016. Obesogenic retail food environments around New Zealand schools: a national study. </w:t>
      </w:r>
      <w:r w:rsidRPr="00C000B2">
        <w:rPr>
          <w:i/>
        </w:rPr>
        <w:t xml:space="preserve">American Journal of Preventive Medicine </w:t>
      </w:r>
      <w:r w:rsidRPr="00C000B2">
        <w:t>51(3): e57–e66.</w:t>
      </w:r>
    </w:p>
    <w:p w14:paraId="54FDDB60" w14:textId="77777777" w:rsidR="00EF27EC" w:rsidRPr="00C000B2" w:rsidRDefault="00EF27EC" w:rsidP="00043D21">
      <w:pPr>
        <w:pStyle w:val="References"/>
      </w:pPr>
      <w:r w:rsidRPr="00C000B2">
        <w:t xml:space="preserve">Hobbs M, </w:t>
      </w:r>
      <w:proofErr w:type="spellStart"/>
      <w:r w:rsidRPr="00C000B2">
        <w:t>Mackenbach</w:t>
      </w:r>
      <w:proofErr w:type="spellEnd"/>
      <w:r w:rsidRPr="00C000B2">
        <w:t xml:space="preserve"> JD, Marek L, et al. 2020. Investigating change in the food environment over 10 years in urban New Zealand: a longitudinal and nationwide geospatial study. </w:t>
      </w:r>
      <w:r w:rsidRPr="00C000B2">
        <w:rPr>
          <w:i/>
        </w:rPr>
        <w:t xml:space="preserve">Social Science &amp; Medicine </w:t>
      </w:r>
      <w:r w:rsidRPr="00C000B2">
        <w:t>113522.</w:t>
      </w:r>
    </w:p>
    <w:p w14:paraId="29D5D349" w14:textId="77777777" w:rsidR="00EF27EC" w:rsidRPr="00C000B2" w:rsidRDefault="00EF27EC" w:rsidP="00043D21">
      <w:pPr>
        <w:pStyle w:val="References"/>
      </w:pPr>
      <w:r w:rsidRPr="00C000B2">
        <w:t xml:space="preserve">Hollands GJ, Carter P, </w:t>
      </w:r>
      <w:proofErr w:type="spellStart"/>
      <w:r w:rsidRPr="00C000B2">
        <w:t>Anwer</w:t>
      </w:r>
      <w:proofErr w:type="spellEnd"/>
      <w:r w:rsidRPr="00C000B2">
        <w:t xml:space="preserve"> S, et al. 2019. Altering the availability or proximity of food, alcohol, and tobacco products to change their selection and consumption. </w:t>
      </w:r>
      <w:r w:rsidRPr="00C000B2">
        <w:rPr>
          <w:i/>
        </w:rPr>
        <w:t xml:space="preserve">Cochrane Database of Systematic Reviews </w:t>
      </w:r>
      <w:r w:rsidRPr="00C000B2">
        <w:t>(9).</w:t>
      </w:r>
    </w:p>
    <w:p w14:paraId="0B175018" w14:textId="77777777" w:rsidR="00EF27EC" w:rsidRPr="00C000B2" w:rsidRDefault="00EF27EC" w:rsidP="00043D21">
      <w:pPr>
        <w:pStyle w:val="References"/>
      </w:pPr>
      <w:r w:rsidRPr="00C000B2">
        <w:t xml:space="preserve">Micha R, </w:t>
      </w:r>
      <w:proofErr w:type="spellStart"/>
      <w:r w:rsidRPr="00C000B2">
        <w:t>Karageorgou</w:t>
      </w:r>
      <w:proofErr w:type="spellEnd"/>
      <w:r w:rsidRPr="00C000B2">
        <w:t xml:space="preserve"> D, </w:t>
      </w:r>
      <w:proofErr w:type="spellStart"/>
      <w:r w:rsidRPr="00C000B2">
        <w:t>Bakogianni</w:t>
      </w:r>
      <w:proofErr w:type="spellEnd"/>
      <w:r w:rsidRPr="00C000B2">
        <w:t xml:space="preserve"> I, et al. 2018. Effectiveness of school food environment policies on children’s dietary </w:t>
      </w:r>
      <w:proofErr w:type="spellStart"/>
      <w:r w:rsidRPr="00C000B2">
        <w:t>behaviors</w:t>
      </w:r>
      <w:proofErr w:type="spellEnd"/>
      <w:r w:rsidRPr="00C000B2">
        <w:t xml:space="preserve">: a systematic review and meta-analysis. </w:t>
      </w:r>
      <w:r w:rsidRPr="00C000B2">
        <w:rPr>
          <w:i/>
        </w:rPr>
        <w:t xml:space="preserve">PLOS One </w:t>
      </w:r>
      <w:r w:rsidRPr="00C000B2">
        <w:t>13(3): e0194555.</w:t>
      </w:r>
    </w:p>
    <w:p w14:paraId="18686184" w14:textId="77777777" w:rsidR="00EF27EC" w:rsidRPr="00C000B2" w:rsidRDefault="00EF27EC" w:rsidP="00961B35">
      <w:pPr>
        <w:pStyle w:val="References"/>
        <w:keepNext/>
        <w:keepLines/>
      </w:pPr>
      <w:proofErr w:type="spellStart"/>
      <w:r w:rsidRPr="00C000B2">
        <w:lastRenderedPageBreak/>
        <w:t>DSouza</w:t>
      </w:r>
      <w:proofErr w:type="spellEnd"/>
      <w:r w:rsidRPr="00C000B2">
        <w:t xml:space="preserve"> E. 2017. </w:t>
      </w:r>
      <w:r w:rsidRPr="00C000B2">
        <w:rPr>
          <w:i/>
        </w:rPr>
        <w:t>School-FERST: Preliminary results for schools</w:t>
      </w:r>
      <w:r w:rsidRPr="00C000B2">
        <w:t xml:space="preserve">. Auckland: The University of Auckland. URL: </w:t>
      </w:r>
      <w:hyperlink r:id="rId151" w:history="1">
        <w:r w:rsidR="00961B35" w:rsidRPr="00961B35">
          <w:rPr>
            <w:rStyle w:val="Hyperlink"/>
          </w:rPr>
          <w:t>https://figshare.com/articles/journal_contribution/School-FERST_-_Preliminary_results_for_primary_schools/5673469</w:t>
        </w:r>
      </w:hyperlink>
      <w:r w:rsidRPr="00C000B2">
        <w:t xml:space="preserve"> (accessed 27 October 2021).</w:t>
      </w:r>
    </w:p>
    <w:p w14:paraId="7771D2A7" w14:textId="77777777" w:rsidR="00EF27EC" w:rsidRPr="00C000B2" w:rsidRDefault="00EF27EC" w:rsidP="00043D21">
      <w:pPr>
        <w:pStyle w:val="References"/>
      </w:pPr>
      <w:r w:rsidRPr="00C000B2">
        <w:t xml:space="preserve">Ministry of Education. 2019. </w:t>
      </w:r>
      <w:r w:rsidRPr="00961B35">
        <w:rPr>
          <w:i/>
        </w:rPr>
        <w:t>Healthy Active Learning</w:t>
      </w:r>
      <w:r w:rsidRPr="00C000B2">
        <w:t xml:space="preserve">. URL: </w:t>
      </w:r>
      <w:hyperlink r:id="rId152" w:history="1">
        <w:r w:rsidR="00961B35" w:rsidRPr="00961B35">
          <w:rPr>
            <w:rStyle w:val="Hyperlink"/>
          </w:rPr>
          <w:t>https://www.education.govt.nz/our-work/changes-in-education/healthy-active-learning/</w:t>
        </w:r>
      </w:hyperlink>
      <w:r w:rsidRPr="00C000B2">
        <w:t xml:space="preserve"> (accessed 29 October 2021).</w:t>
      </w:r>
    </w:p>
    <w:p w14:paraId="64AB385E" w14:textId="77777777" w:rsidR="00EF27EC" w:rsidRPr="00C000B2" w:rsidRDefault="00EF27EC" w:rsidP="00043D21">
      <w:pPr>
        <w:pStyle w:val="References"/>
      </w:pPr>
      <w:r w:rsidRPr="00C000B2">
        <w:t xml:space="preserve">Institute of Medicine and National Research Council. 2009. </w:t>
      </w:r>
      <w:r w:rsidRPr="00C000B2">
        <w:rPr>
          <w:i/>
        </w:rPr>
        <w:t>Local Government Actions to Prevent Childhood Obesity</w:t>
      </w:r>
      <w:r w:rsidRPr="00C000B2">
        <w:t>. Washington, DC: National Academies Press.</w:t>
      </w:r>
    </w:p>
    <w:p w14:paraId="179E56FA" w14:textId="77777777" w:rsidR="00EF27EC" w:rsidRPr="00C000B2" w:rsidRDefault="00EF27EC" w:rsidP="00043D21">
      <w:pPr>
        <w:pStyle w:val="References"/>
      </w:pPr>
      <w:r w:rsidRPr="00C000B2">
        <w:t xml:space="preserve">Massey University Evaluation Team. 2018. </w:t>
      </w:r>
      <w:r w:rsidRPr="00C000B2">
        <w:rPr>
          <w:i/>
        </w:rPr>
        <w:t>Summative Evaluation Report: Healthy Families NZ</w:t>
      </w:r>
      <w:r w:rsidRPr="00C000B2">
        <w:t>. Wellington: Ministry of Health.</w:t>
      </w:r>
    </w:p>
    <w:p w14:paraId="307B6CB8" w14:textId="77777777" w:rsidR="00EF27EC" w:rsidRPr="00C000B2" w:rsidRDefault="00EF27EC" w:rsidP="00043D21">
      <w:pPr>
        <w:pStyle w:val="References"/>
      </w:pPr>
      <w:r w:rsidRPr="00C000B2">
        <w:t xml:space="preserve">Healthy Auckland Together. 2017. </w:t>
      </w:r>
      <w:r w:rsidRPr="00C000B2">
        <w:rPr>
          <w:i/>
        </w:rPr>
        <w:t>The Healthy Auckland Together Plan 2015–2020</w:t>
      </w:r>
      <w:r w:rsidRPr="00C000B2">
        <w:t xml:space="preserve">. URL: </w:t>
      </w:r>
      <w:hyperlink r:id="rId153" w:history="1">
        <w:r w:rsidR="00961B35" w:rsidRPr="00961B35">
          <w:rPr>
            <w:rStyle w:val="Hyperlink"/>
          </w:rPr>
          <w:t>https://www.healthyaucklandtogether.org.nz/assets/Uploads/HAT-actionplan.pdf</w:t>
        </w:r>
      </w:hyperlink>
      <w:r w:rsidRPr="00C000B2">
        <w:t xml:space="preserve"> (accessed 29 October 2021).</w:t>
      </w:r>
    </w:p>
    <w:p w14:paraId="0A0695A8" w14:textId="77777777" w:rsidR="00EF27EC" w:rsidRPr="00C000B2" w:rsidRDefault="00EF27EC" w:rsidP="00043D21">
      <w:pPr>
        <w:pStyle w:val="References"/>
      </w:pPr>
      <w:r w:rsidRPr="00C000B2">
        <w:t xml:space="preserve">Mackay S, Ni </w:t>
      </w:r>
      <w:proofErr w:type="spellStart"/>
      <w:r w:rsidRPr="00C000B2">
        <w:t>Mhurchu</w:t>
      </w:r>
      <w:proofErr w:type="spellEnd"/>
      <w:r w:rsidRPr="00C000B2">
        <w:t xml:space="preserve"> C, Swinburn B, et al. 2019. </w:t>
      </w:r>
      <w:r w:rsidRPr="00C000B2">
        <w:rPr>
          <w:i/>
        </w:rPr>
        <w:t>State of the Food Supply: New</w:t>
      </w:r>
      <w:r w:rsidR="00961B35">
        <w:rPr>
          <w:i/>
        </w:rPr>
        <w:t> </w:t>
      </w:r>
      <w:r w:rsidRPr="00C000B2">
        <w:rPr>
          <w:i/>
        </w:rPr>
        <w:t>Zealand 2019</w:t>
      </w:r>
      <w:r w:rsidR="00961B35">
        <w:t xml:space="preserve">. </w:t>
      </w:r>
      <w:r w:rsidRPr="00C000B2">
        <w:t xml:space="preserve">Auckland: The University of Auckland. URL: </w:t>
      </w:r>
      <w:hyperlink r:id="rId154" w:history="1">
        <w:r w:rsidR="00961B35" w:rsidRPr="00961B35">
          <w:rPr>
            <w:rStyle w:val="Hyperlink"/>
          </w:rPr>
          <w:t>https://www.nzdoctor.co.nz/sites/default/files/2019-08/State%20of%20the%20Food%20Supply%202019%20report.pdf</w:t>
        </w:r>
      </w:hyperlink>
      <w:r w:rsidRPr="00C000B2">
        <w:t xml:space="preserve"> (accessed 29</w:t>
      </w:r>
      <w:r w:rsidR="00961B35">
        <w:t> </w:t>
      </w:r>
      <w:r w:rsidRPr="00C000B2">
        <w:t>October 2021).</w:t>
      </w:r>
    </w:p>
    <w:p w14:paraId="39A7F418" w14:textId="77777777" w:rsidR="00EF27EC" w:rsidRPr="00C000B2" w:rsidRDefault="00EF27EC" w:rsidP="00043D21">
      <w:pPr>
        <w:pStyle w:val="References"/>
      </w:pPr>
      <w:r w:rsidRPr="00C000B2">
        <w:t xml:space="preserve">Afshin A, Sur PJ, Fay KA, et al. 2019. Health effects of dietary risks in 195 countries, 1990–2017: a systematic analysis for the Global Burden of Disease Study 2017. </w:t>
      </w:r>
      <w:r w:rsidRPr="00C000B2">
        <w:rPr>
          <w:i/>
        </w:rPr>
        <w:t xml:space="preserve">The Lancet </w:t>
      </w:r>
      <w:r w:rsidRPr="00C000B2">
        <w:t>393(10184): 1958–72.</w:t>
      </w:r>
    </w:p>
    <w:p w14:paraId="7B4C210B" w14:textId="77777777" w:rsidR="00EF27EC" w:rsidRPr="00C000B2" w:rsidRDefault="00EF27EC" w:rsidP="00043D21">
      <w:pPr>
        <w:pStyle w:val="References"/>
      </w:pPr>
      <w:proofErr w:type="spellStart"/>
      <w:r w:rsidRPr="00C000B2">
        <w:t>Fangupo</w:t>
      </w:r>
      <w:proofErr w:type="spellEnd"/>
      <w:r w:rsidRPr="00C000B2">
        <w:t xml:space="preserve"> L, </w:t>
      </w:r>
      <w:proofErr w:type="spellStart"/>
      <w:r w:rsidRPr="00C000B2">
        <w:t>Haszard</w:t>
      </w:r>
      <w:proofErr w:type="spellEnd"/>
      <w:r w:rsidRPr="00C000B2">
        <w:t xml:space="preserve"> J, Taylor B, et al. 2021. Ultra-processed food intake and associations with demographic factors in young New Zealand children. </w:t>
      </w:r>
      <w:r w:rsidRPr="00C000B2">
        <w:rPr>
          <w:i/>
        </w:rPr>
        <w:t xml:space="preserve">Journal of the Academy of Nutrition and Dietetics </w:t>
      </w:r>
      <w:r w:rsidRPr="00C000B2">
        <w:t>121(2): 305–13. DOI: 10.1016/j.jand.2020.08.088 (accessed 29 October 2021).</w:t>
      </w:r>
    </w:p>
    <w:p w14:paraId="329CAB84" w14:textId="77777777" w:rsidR="00EF27EC" w:rsidRPr="00C000B2" w:rsidRDefault="00EF27EC" w:rsidP="00043D21">
      <w:pPr>
        <w:pStyle w:val="References"/>
      </w:pPr>
      <w:r w:rsidRPr="00C000B2">
        <w:t xml:space="preserve">WHO Regional Office for Europe. 2020. </w:t>
      </w:r>
      <w:r w:rsidRPr="00C000B2">
        <w:rPr>
          <w:i/>
        </w:rPr>
        <w:t>Improving Dietary Intake and Achieving Food Improvement</w:t>
      </w:r>
      <w:r w:rsidRPr="00C000B2">
        <w:t>. Copenhagen: WHO Regional Office for Europe.</w:t>
      </w:r>
    </w:p>
    <w:p w14:paraId="3F6CBEFF" w14:textId="77777777" w:rsidR="00EF27EC" w:rsidRPr="00C000B2" w:rsidRDefault="00EF27EC" w:rsidP="00043D21">
      <w:pPr>
        <w:pStyle w:val="References"/>
      </w:pPr>
      <w:r w:rsidRPr="00C000B2">
        <w:t xml:space="preserve">FAO, IFAD, UNICEF, WFP and WHO. 2020. </w:t>
      </w:r>
      <w:r w:rsidRPr="00C000B2">
        <w:rPr>
          <w:i/>
        </w:rPr>
        <w:t>The State of Food Security and Nutrition in the World (SOFI)</w:t>
      </w:r>
      <w:r w:rsidRPr="00C000B2">
        <w:t>. Rome: Food and Agriculture Organization.</w:t>
      </w:r>
    </w:p>
    <w:p w14:paraId="49E80085" w14:textId="77777777" w:rsidR="00EF27EC" w:rsidRPr="00C000B2" w:rsidRDefault="00EF27EC" w:rsidP="00043D21">
      <w:pPr>
        <w:pStyle w:val="References"/>
      </w:pPr>
      <w:proofErr w:type="spellStart"/>
      <w:r w:rsidRPr="00C000B2">
        <w:t>Gressier</w:t>
      </w:r>
      <w:proofErr w:type="spellEnd"/>
      <w:r w:rsidRPr="00C000B2">
        <w:t xml:space="preserve"> M, Sassi F, Frost G. 2021. Contribution of reformulation, product renewal, and changes in consumer </w:t>
      </w:r>
      <w:proofErr w:type="spellStart"/>
      <w:r w:rsidRPr="00C000B2">
        <w:t>behavior</w:t>
      </w:r>
      <w:proofErr w:type="spellEnd"/>
      <w:r w:rsidRPr="00C000B2">
        <w:t xml:space="preserve"> to the reduction of salt intakes in the UK population between 2008/2009 and 2016/2017. </w:t>
      </w:r>
      <w:r w:rsidRPr="00C000B2">
        <w:rPr>
          <w:i/>
        </w:rPr>
        <w:t xml:space="preserve">The American Journal of Clinical Nutrition </w:t>
      </w:r>
      <w:r w:rsidRPr="00C000B2">
        <w:t>114 (3): 1092–99.</w:t>
      </w:r>
    </w:p>
    <w:p w14:paraId="6468DDE2" w14:textId="77777777" w:rsidR="00EF27EC" w:rsidRPr="00C000B2" w:rsidRDefault="00EF27EC" w:rsidP="00043D21">
      <w:pPr>
        <w:pStyle w:val="References"/>
      </w:pPr>
      <w:r w:rsidRPr="00C000B2">
        <w:t xml:space="preserve">Webster J, Trieu K, Dunford E, et al. 2014. Target salt 2025: a global overview of national programs to encourage the food industry to reduce salt in foods. </w:t>
      </w:r>
      <w:r w:rsidRPr="00C000B2">
        <w:rPr>
          <w:i/>
        </w:rPr>
        <w:t xml:space="preserve">Nutrients </w:t>
      </w:r>
      <w:r w:rsidRPr="00C000B2">
        <w:t>6(8): 3274–87. DOI: 10.3390/nu6083274 (accessed 30 October 2021).</w:t>
      </w:r>
    </w:p>
    <w:p w14:paraId="261512B3" w14:textId="77777777" w:rsidR="00EF27EC" w:rsidRPr="00C000B2" w:rsidRDefault="00EF27EC" w:rsidP="00043D21">
      <w:pPr>
        <w:pStyle w:val="References"/>
      </w:pPr>
      <w:r w:rsidRPr="00C000B2">
        <w:t xml:space="preserve">Campbell N, </w:t>
      </w:r>
      <w:proofErr w:type="spellStart"/>
      <w:r w:rsidRPr="00C000B2">
        <w:t>Legowski</w:t>
      </w:r>
      <w:proofErr w:type="spellEnd"/>
      <w:r w:rsidRPr="00C000B2">
        <w:t xml:space="preserve"> B, </w:t>
      </w:r>
      <w:proofErr w:type="spellStart"/>
      <w:r w:rsidRPr="00C000B2">
        <w:t>Legetic</w:t>
      </w:r>
      <w:proofErr w:type="spellEnd"/>
      <w:r w:rsidRPr="00C000B2">
        <w:t xml:space="preserve"> B, et al. 2014. Targets and timelines for reducing salt in processed food in the Americas. </w:t>
      </w:r>
      <w:r w:rsidRPr="00C000B2">
        <w:rPr>
          <w:i/>
        </w:rPr>
        <w:t>Journal of Clinical Hypertension</w:t>
      </w:r>
      <w:r w:rsidR="00961B35">
        <w:br/>
      </w:r>
      <w:r w:rsidRPr="00C000B2">
        <w:t>16(9): 619–23. DOI: 10.1111/jch.12379 (accessed 29 October 2021).</w:t>
      </w:r>
    </w:p>
    <w:p w14:paraId="117B3093" w14:textId="77777777" w:rsidR="00EF27EC" w:rsidRPr="00C000B2" w:rsidRDefault="00EF27EC" w:rsidP="00961B35">
      <w:pPr>
        <w:pStyle w:val="References"/>
        <w:keepNext/>
        <w:keepLines/>
      </w:pPr>
      <w:r w:rsidRPr="00C000B2">
        <w:lastRenderedPageBreak/>
        <w:t xml:space="preserve">Charlton K, Webster J, Kowal P. 2014. To legislate or not to legislate? A comparison of the UK and South African approaches to the development and implementation of salt reduction programs. </w:t>
      </w:r>
      <w:r w:rsidRPr="00C000B2">
        <w:rPr>
          <w:i/>
        </w:rPr>
        <w:t xml:space="preserve">Nutrients </w:t>
      </w:r>
      <w:r w:rsidRPr="00C000B2">
        <w:t>6(9): 3672–95. DOI: 10.3390/nu6093672 (accessed 26 October 2021).</w:t>
      </w:r>
    </w:p>
    <w:p w14:paraId="3E033F2F" w14:textId="77777777" w:rsidR="00EF27EC" w:rsidRPr="00C000B2" w:rsidRDefault="00EF27EC" w:rsidP="00043D21">
      <w:pPr>
        <w:pStyle w:val="References"/>
      </w:pPr>
      <w:r w:rsidRPr="00C000B2">
        <w:t xml:space="preserve">UK Parliament Post. 2021. Food and drink reformulation to reduce fat, </w:t>
      </w:r>
      <w:proofErr w:type="gramStart"/>
      <w:r w:rsidRPr="00C000B2">
        <w:t>sugar</w:t>
      </w:r>
      <w:proofErr w:type="gramEnd"/>
      <w:r w:rsidRPr="00C000B2">
        <w:t xml:space="preserve"> and salt. </w:t>
      </w:r>
      <w:proofErr w:type="spellStart"/>
      <w:r w:rsidRPr="00C000B2">
        <w:rPr>
          <w:i/>
        </w:rPr>
        <w:t>Postnote</w:t>
      </w:r>
      <w:proofErr w:type="spellEnd"/>
      <w:r w:rsidRPr="00C000B2">
        <w:rPr>
          <w:i/>
        </w:rPr>
        <w:t xml:space="preserve"> </w:t>
      </w:r>
      <w:r w:rsidRPr="00C000B2">
        <w:t xml:space="preserve">638. URL: </w:t>
      </w:r>
      <w:hyperlink r:id="rId155" w:history="1">
        <w:r w:rsidR="00961B35" w:rsidRPr="00961B35">
          <w:rPr>
            <w:rStyle w:val="Hyperlink"/>
          </w:rPr>
          <w:t>https://researchbriefings.files.parliament.uk/documents/POST-PN-0638/POST-PN-0638.pdf</w:t>
        </w:r>
      </w:hyperlink>
      <w:r w:rsidRPr="00C000B2">
        <w:t xml:space="preserve"> (accessed 30 October 2021).</w:t>
      </w:r>
    </w:p>
    <w:p w14:paraId="1D9BC85E" w14:textId="77777777" w:rsidR="00EF27EC" w:rsidRPr="00C000B2" w:rsidRDefault="00EF27EC" w:rsidP="00043D21">
      <w:pPr>
        <w:pStyle w:val="References"/>
      </w:pPr>
      <w:r w:rsidRPr="00C000B2">
        <w:t xml:space="preserve">Mackay S, </w:t>
      </w:r>
      <w:proofErr w:type="spellStart"/>
      <w:r w:rsidRPr="00C000B2">
        <w:t>Eyles</w:t>
      </w:r>
      <w:proofErr w:type="spellEnd"/>
      <w:r w:rsidRPr="00C000B2">
        <w:t xml:space="preserve"> H, Gontijo de Castro T, et al. 2021. Which companies dominate the packaged food supply of New Zealand and how healthy are their products? </w:t>
      </w:r>
      <w:r w:rsidRPr="00C000B2">
        <w:rPr>
          <w:i/>
        </w:rPr>
        <w:t xml:space="preserve">PLOS One </w:t>
      </w:r>
      <w:r w:rsidRPr="00C000B2">
        <w:t xml:space="preserve">16(1): e0245225. URL: </w:t>
      </w:r>
      <w:hyperlink r:id="rId156" w:history="1">
        <w:r w:rsidR="00961B35" w:rsidRPr="00961B35">
          <w:rPr>
            <w:rStyle w:val="Hyperlink"/>
          </w:rPr>
          <w:t>https://www.ncbi.nlm.nih.gov/pmc/articles/PMC7837499/pdf/pone.0245225.pdf</w:t>
        </w:r>
      </w:hyperlink>
      <w:r w:rsidRPr="00C000B2">
        <w:t xml:space="preserve"> (accessed 29 October 2021).</w:t>
      </w:r>
    </w:p>
    <w:p w14:paraId="7C626CE6" w14:textId="77777777" w:rsidR="00EF27EC" w:rsidRPr="00C000B2" w:rsidRDefault="00EF27EC" w:rsidP="00043D21">
      <w:pPr>
        <w:pStyle w:val="References"/>
      </w:pPr>
      <w:r w:rsidRPr="00C000B2">
        <w:t xml:space="preserve">van der Bend DL, Jansen L, van der Velde G, et al. 2020. The influence of a front-of-pack nutrition label on product reformulation: a </w:t>
      </w:r>
      <w:r w:rsidR="00961B35">
        <w:t>10</w:t>
      </w:r>
      <w:r w:rsidRPr="00C000B2">
        <w:t xml:space="preserve">-year evaluation of the Dutch Choices programme. </w:t>
      </w:r>
      <w:r w:rsidRPr="00C000B2">
        <w:rPr>
          <w:i/>
        </w:rPr>
        <w:t xml:space="preserve">Food Chemistry: X </w:t>
      </w:r>
      <w:r w:rsidRPr="00C000B2">
        <w:t>6: 100086.</w:t>
      </w:r>
    </w:p>
    <w:p w14:paraId="66F8C0F1" w14:textId="77777777" w:rsidR="00EF27EC" w:rsidRPr="00C000B2" w:rsidRDefault="00EF27EC" w:rsidP="00043D21">
      <w:pPr>
        <w:pStyle w:val="References"/>
      </w:pPr>
      <w:r w:rsidRPr="00C000B2">
        <w:t xml:space="preserve">Ni </w:t>
      </w:r>
      <w:proofErr w:type="spellStart"/>
      <w:r w:rsidRPr="00C000B2">
        <w:t>Mhurchu</w:t>
      </w:r>
      <w:proofErr w:type="spellEnd"/>
      <w:r w:rsidRPr="00C000B2">
        <w:t xml:space="preserve"> C, </w:t>
      </w:r>
      <w:proofErr w:type="spellStart"/>
      <w:r w:rsidRPr="00C000B2">
        <w:t>Eyles</w:t>
      </w:r>
      <w:proofErr w:type="spellEnd"/>
      <w:r w:rsidRPr="00C000B2">
        <w:t xml:space="preserve"> H, Choi Y-H. 2017. Effects of a voluntary front-of-pack nutrition labelling system on packaged food reformulation: the health star rating system in New Zealand. </w:t>
      </w:r>
      <w:r w:rsidRPr="00C000B2">
        <w:rPr>
          <w:i/>
        </w:rPr>
        <w:t xml:space="preserve">Nutrients </w:t>
      </w:r>
      <w:r w:rsidRPr="00C000B2">
        <w:t>9(8): 918.</w:t>
      </w:r>
    </w:p>
    <w:p w14:paraId="700ED476" w14:textId="77777777" w:rsidR="00EF27EC" w:rsidRPr="00C000B2" w:rsidRDefault="00EF27EC" w:rsidP="00043D21">
      <w:pPr>
        <w:pStyle w:val="References"/>
      </w:pPr>
      <w:r w:rsidRPr="00C000B2">
        <w:t xml:space="preserve">FAO. 2002. </w:t>
      </w:r>
      <w:r w:rsidRPr="00C000B2">
        <w:rPr>
          <w:i/>
        </w:rPr>
        <w:t xml:space="preserve">The State of Food Insecurity in the World 2001. </w:t>
      </w:r>
      <w:r w:rsidRPr="00C000B2">
        <w:t>Rome: Food and Agriculture Organization.</w:t>
      </w:r>
    </w:p>
    <w:p w14:paraId="03F996D3" w14:textId="77777777" w:rsidR="00EF27EC" w:rsidRPr="00C000B2" w:rsidRDefault="00EF27EC" w:rsidP="00043D21">
      <w:pPr>
        <w:pStyle w:val="References"/>
      </w:pPr>
      <w:r w:rsidRPr="00C000B2">
        <w:t xml:space="preserve">Ministry of Health. 2019. </w:t>
      </w:r>
      <w:r w:rsidRPr="00C000B2">
        <w:rPr>
          <w:i/>
        </w:rPr>
        <w:t>Household Food Insecurity Among Children in</w:t>
      </w:r>
      <w:r w:rsidR="00961B35">
        <w:rPr>
          <w:i/>
        </w:rPr>
        <w:t xml:space="preserve"> </w:t>
      </w:r>
      <w:r w:rsidRPr="00C000B2">
        <w:rPr>
          <w:i/>
        </w:rPr>
        <w:t xml:space="preserve">New Zealand. </w:t>
      </w:r>
      <w:r w:rsidRPr="00C000B2">
        <w:t>Wellington: Ministry of Health.</w:t>
      </w:r>
    </w:p>
    <w:p w14:paraId="191BDC1F" w14:textId="77777777" w:rsidR="00EF27EC" w:rsidRPr="00C000B2" w:rsidRDefault="00EF27EC" w:rsidP="00043D21">
      <w:pPr>
        <w:pStyle w:val="References"/>
      </w:pPr>
      <w:r w:rsidRPr="00C000B2">
        <w:t xml:space="preserve">Bowden M. 2020. </w:t>
      </w:r>
      <w:r w:rsidRPr="00C000B2">
        <w:rPr>
          <w:i/>
        </w:rPr>
        <w:t>Understanding Food Insecurity in Australia</w:t>
      </w:r>
      <w:r w:rsidRPr="00C000B2">
        <w:t>. Melbourne: Australian Institute of Family Studies.</w:t>
      </w:r>
    </w:p>
    <w:p w14:paraId="5CD83EF7" w14:textId="77777777" w:rsidR="00EF27EC" w:rsidRPr="00C000B2" w:rsidRDefault="00EF27EC" w:rsidP="00043D21">
      <w:pPr>
        <w:pStyle w:val="References"/>
      </w:pPr>
      <w:proofErr w:type="spellStart"/>
      <w:r w:rsidRPr="00C000B2">
        <w:t>McKerchar</w:t>
      </w:r>
      <w:proofErr w:type="spellEnd"/>
      <w:r w:rsidRPr="00C000B2">
        <w:t xml:space="preserve"> C, Lacey C, Abel G, et al. 2021. Ensuring the right to food for indigenous children: a case study of stakeholder perspectives on policy options to ensure the rights of </w:t>
      </w:r>
      <w:proofErr w:type="spellStart"/>
      <w:r w:rsidRPr="00C000B2">
        <w:t>tamariki</w:t>
      </w:r>
      <w:proofErr w:type="spellEnd"/>
      <w:r w:rsidRPr="00C000B2">
        <w:t xml:space="preserve"> Māori to healthy food. </w:t>
      </w:r>
      <w:r w:rsidRPr="00C000B2">
        <w:rPr>
          <w:i/>
        </w:rPr>
        <w:t xml:space="preserve">International Journal for Equity in Health </w:t>
      </w:r>
      <w:r w:rsidRPr="00C000B2">
        <w:t>20(1): 1–13.</w:t>
      </w:r>
    </w:p>
    <w:p w14:paraId="6EF4824A" w14:textId="77777777" w:rsidR="00EF27EC" w:rsidRPr="00C000B2" w:rsidRDefault="00EF27EC" w:rsidP="00043D21">
      <w:pPr>
        <w:pStyle w:val="References"/>
      </w:pPr>
      <w:r w:rsidRPr="00C000B2">
        <w:t xml:space="preserve">World Cancer Research Fund and American Institute for Cancer Research. 2018a. </w:t>
      </w:r>
      <w:r w:rsidRPr="00C000B2">
        <w:rPr>
          <w:i/>
        </w:rPr>
        <w:t xml:space="preserve">Continuous Update Project Expert Report 2018. Physical </w:t>
      </w:r>
      <w:r w:rsidR="00961B35">
        <w:rPr>
          <w:i/>
        </w:rPr>
        <w:t>a</w:t>
      </w:r>
      <w:r w:rsidRPr="00C000B2">
        <w:rPr>
          <w:i/>
        </w:rPr>
        <w:t xml:space="preserve">ctivity and the risk of cancer. </w:t>
      </w:r>
      <w:r w:rsidRPr="00C000B2">
        <w:t xml:space="preserve">URL: </w:t>
      </w:r>
      <w:hyperlink r:id="rId157" w:history="1">
        <w:r w:rsidR="00961B35" w:rsidRPr="00961B35">
          <w:rPr>
            <w:rStyle w:val="Hyperlink"/>
          </w:rPr>
          <w:t>https://www.wcrf.org/sites/default/files/Physical-activity.pdf</w:t>
        </w:r>
      </w:hyperlink>
      <w:r w:rsidRPr="00C000B2">
        <w:t xml:space="preserve"> (accessed 26 October 2021).</w:t>
      </w:r>
    </w:p>
    <w:p w14:paraId="353734B0" w14:textId="77777777" w:rsidR="00EF27EC" w:rsidRPr="00C000B2" w:rsidRDefault="00EF27EC" w:rsidP="00043D21">
      <w:pPr>
        <w:pStyle w:val="References"/>
      </w:pPr>
      <w:r w:rsidRPr="00C000B2">
        <w:t xml:space="preserve">Sport New Zealand. 2019. </w:t>
      </w:r>
      <w:r w:rsidRPr="00C000B2">
        <w:rPr>
          <w:i/>
        </w:rPr>
        <w:t xml:space="preserve">Spotlight on Deprivation. Key Findings. </w:t>
      </w:r>
      <w:r w:rsidRPr="00C000B2">
        <w:t xml:space="preserve">Wellington: Sport New Zealand. URL: </w:t>
      </w:r>
      <w:hyperlink r:id="rId158" w:history="1">
        <w:r w:rsidR="00961B35" w:rsidRPr="00961B35">
          <w:rPr>
            <w:rStyle w:val="Hyperlink"/>
          </w:rPr>
          <w:t>https://sportnz.org.nz/media/1294/spotlight-on-deprivation-key-findings2.pdf</w:t>
        </w:r>
      </w:hyperlink>
      <w:r w:rsidRPr="00C000B2">
        <w:t xml:space="preserve"> (accessed 30 October 2021).</w:t>
      </w:r>
    </w:p>
    <w:p w14:paraId="21ED1BAE" w14:textId="77777777" w:rsidR="00EF27EC" w:rsidRPr="00C000B2" w:rsidRDefault="00EF27EC" w:rsidP="00043D21">
      <w:pPr>
        <w:pStyle w:val="References"/>
      </w:pPr>
      <w:r w:rsidRPr="00C000B2">
        <w:t xml:space="preserve">Ministry of Health. 2013. </w:t>
      </w:r>
      <w:r w:rsidRPr="00C000B2">
        <w:rPr>
          <w:i/>
        </w:rPr>
        <w:t>Guidelines on Physical Activity for Older People (aged 65</w:t>
      </w:r>
      <w:r w:rsidR="00961B35">
        <w:rPr>
          <w:i/>
        </w:rPr>
        <w:t> </w:t>
      </w:r>
      <w:r w:rsidRPr="00C000B2">
        <w:rPr>
          <w:i/>
        </w:rPr>
        <w:t>years and over)</w:t>
      </w:r>
      <w:r w:rsidRPr="00C000B2">
        <w:t>. Wellington: Ministry of Health.</w:t>
      </w:r>
    </w:p>
    <w:p w14:paraId="204BB097" w14:textId="77777777" w:rsidR="00EF27EC" w:rsidRPr="00C000B2" w:rsidRDefault="00EF27EC" w:rsidP="00043D21">
      <w:pPr>
        <w:pStyle w:val="References"/>
      </w:pPr>
      <w:r w:rsidRPr="00C000B2">
        <w:t xml:space="preserve">Ministry of Health. 2017. </w:t>
      </w:r>
      <w:r w:rsidRPr="00C000B2">
        <w:rPr>
          <w:i/>
        </w:rPr>
        <w:t>Sit Less, Move More, Sleep Well: Active play guidelines for under-fives</w:t>
      </w:r>
      <w:r w:rsidRPr="00C000B2">
        <w:t>. Wellington: Ministry of Health.</w:t>
      </w:r>
    </w:p>
    <w:p w14:paraId="12C2442F" w14:textId="77777777" w:rsidR="00EF27EC" w:rsidRPr="00C000B2" w:rsidRDefault="00EF27EC" w:rsidP="00043D21">
      <w:pPr>
        <w:pStyle w:val="References"/>
      </w:pPr>
      <w:r w:rsidRPr="00C000B2">
        <w:t xml:space="preserve">Sport New Zealand. 2020. </w:t>
      </w:r>
      <w:r w:rsidRPr="00C000B2">
        <w:rPr>
          <w:i/>
        </w:rPr>
        <w:t>Active NZ 2019 Participation Report</w:t>
      </w:r>
      <w:r w:rsidRPr="00C000B2">
        <w:t>. Wellington: S</w:t>
      </w:r>
      <w:r w:rsidR="00961B35">
        <w:t xml:space="preserve">port New Zealand. URL: </w:t>
      </w:r>
      <w:hyperlink r:id="rId159" w:history="1">
        <w:r w:rsidR="00961B35" w:rsidRPr="00961B35">
          <w:rPr>
            <w:rStyle w:val="Hyperlink"/>
          </w:rPr>
          <w:t>https://sportnz.org.nz/media/3639/active-nz-year-3-main-report-final.pdf</w:t>
        </w:r>
      </w:hyperlink>
      <w:r w:rsidRPr="00C000B2">
        <w:t xml:space="preserve"> (accessed 30 October 2021).</w:t>
      </w:r>
    </w:p>
    <w:p w14:paraId="41BE82CF" w14:textId="77777777" w:rsidR="00EF27EC" w:rsidRPr="00C000B2" w:rsidRDefault="00EF27EC" w:rsidP="00043D21">
      <w:pPr>
        <w:pStyle w:val="References"/>
      </w:pPr>
      <w:proofErr w:type="spellStart"/>
      <w:r w:rsidRPr="00C000B2">
        <w:lastRenderedPageBreak/>
        <w:t>Mizdrak</w:t>
      </w:r>
      <w:proofErr w:type="spellEnd"/>
      <w:r w:rsidRPr="00C000B2">
        <w:t xml:space="preserve"> A. 2019. </w:t>
      </w:r>
      <w:r w:rsidRPr="00C000B2">
        <w:rPr>
          <w:i/>
        </w:rPr>
        <w:t>Determinants of Physical Activity in Young People: A report on the Active Young People NZ Survey</w:t>
      </w:r>
      <w:r w:rsidRPr="00C000B2">
        <w:t xml:space="preserve">. URL: </w:t>
      </w:r>
      <w:hyperlink r:id="rId160" w:history="1">
        <w:r w:rsidR="00652D3B" w:rsidRPr="00652D3B">
          <w:rPr>
            <w:rStyle w:val="Hyperlink"/>
          </w:rPr>
          <w:t>https://sportnz.org.nz/media/1289/determinants-of-physical-activity-in-young-people.pdf</w:t>
        </w:r>
      </w:hyperlink>
      <w:r w:rsidRPr="00C000B2">
        <w:t xml:space="preserve"> (accessed 29 October 2021).</w:t>
      </w:r>
    </w:p>
    <w:p w14:paraId="44AD20D5" w14:textId="77777777" w:rsidR="00EF27EC" w:rsidRPr="00C000B2" w:rsidRDefault="00EF27EC" w:rsidP="00043D21">
      <w:pPr>
        <w:pStyle w:val="References"/>
      </w:pPr>
      <w:r w:rsidRPr="00C000B2">
        <w:t xml:space="preserve">Straker L, </w:t>
      </w:r>
      <w:proofErr w:type="spellStart"/>
      <w:r w:rsidRPr="00C000B2">
        <w:t>Coenen</w:t>
      </w:r>
      <w:proofErr w:type="spellEnd"/>
      <w:r w:rsidRPr="00C000B2">
        <w:t xml:space="preserve"> P, Dunstan D, et al. 2016. </w:t>
      </w:r>
      <w:r w:rsidRPr="00C000B2">
        <w:rPr>
          <w:i/>
        </w:rPr>
        <w:t xml:space="preserve">Sedentary Work – Evidence on an Emergent Work Health and Safety Issue – Final Report. </w:t>
      </w:r>
      <w:r w:rsidRPr="00C000B2">
        <w:t xml:space="preserve">Canberra: Safe Work Australia. URL: </w:t>
      </w:r>
      <w:hyperlink r:id="rId161" w:history="1">
        <w:r w:rsidR="00956FDC" w:rsidRPr="00956FDC">
          <w:rPr>
            <w:rStyle w:val="Hyperlink"/>
          </w:rPr>
          <w:t>https://www.safeworkaustralia.gov.au/system/files/documents/1702/literature-review-of-the-hazards-of-sedentary-work.pdf</w:t>
        </w:r>
      </w:hyperlink>
      <w:r w:rsidRPr="00C000B2">
        <w:t xml:space="preserve"> (accessed 30 October 2021).</w:t>
      </w:r>
    </w:p>
    <w:p w14:paraId="40D158DB" w14:textId="77777777" w:rsidR="00EF27EC" w:rsidRPr="00C000B2" w:rsidRDefault="00EF27EC" w:rsidP="00043D21">
      <w:pPr>
        <w:pStyle w:val="References"/>
      </w:pPr>
      <w:r w:rsidRPr="00C000B2">
        <w:t xml:space="preserve">OECD. 2021. </w:t>
      </w:r>
      <w:r w:rsidRPr="00C000B2">
        <w:rPr>
          <w:i/>
        </w:rPr>
        <w:t>21st-Century Readers: Developing literacy skills in a digital world</w:t>
      </w:r>
      <w:r w:rsidRPr="00C000B2">
        <w:t>. Paris: OECD Publishing. DOI: 10.1787/a83d84cb-en (accessed 30 October 2021).</w:t>
      </w:r>
    </w:p>
    <w:p w14:paraId="3A4A9C5B" w14:textId="77777777" w:rsidR="00EF27EC" w:rsidRPr="00C000B2" w:rsidRDefault="00EF27EC" w:rsidP="00043D21">
      <w:pPr>
        <w:pStyle w:val="References"/>
      </w:pPr>
      <w:r w:rsidRPr="00C000B2">
        <w:t xml:space="preserve">WHO. 2018. </w:t>
      </w:r>
      <w:r w:rsidRPr="00C000B2">
        <w:rPr>
          <w:i/>
        </w:rPr>
        <w:t>Global Action Plan on Physical Activity 2018–2030: More active people for a healthier world</w:t>
      </w:r>
      <w:r w:rsidRPr="00C000B2">
        <w:t xml:space="preserve">. Geneva: World Health Organization. URL: </w:t>
      </w:r>
      <w:hyperlink r:id="rId162" w:history="1">
        <w:r w:rsidR="00956FDC" w:rsidRPr="00956FDC">
          <w:rPr>
            <w:rStyle w:val="Hyperlink"/>
          </w:rPr>
          <w:t>https://apps.who.int/iris/bitstream/handle/10665/272722/9789241514187-eng.pdf?ua=1</w:t>
        </w:r>
      </w:hyperlink>
      <w:r w:rsidRPr="00C000B2">
        <w:t xml:space="preserve"> (accessed 30 October 2021).</w:t>
      </w:r>
    </w:p>
    <w:p w14:paraId="5B5D1DE2" w14:textId="77777777" w:rsidR="00EF27EC" w:rsidRPr="00C000B2" w:rsidRDefault="00EF27EC" w:rsidP="00043D21">
      <w:pPr>
        <w:pStyle w:val="References"/>
      </w:pPr>
      <w:r w:rsidRPr="00C000B2">
        <w:t xml:space="preserve">ISPAH. 2020. </w:t>
      </w:r>
      <w:r w:rsidRPr="00C000B2">
        <w:rPr>
          <w:i/>
        </w:rPr>
        <w:t>ISPAH’s Eight Investments that Work for Physical Activity</w:t>
      </w:r>
      <w:r w:rsidRPr="00C000B2">
        <w:t xml:space="preserve">. International Society for Physical Activity and Health. URL: </w:t>
      </w:r>
      <w:hyperlink r:id="rId163" w:history="1">
        <w:r w:rsidR="00956FDC" w:rsidRPr="00956FDC">
          <w:rPr>
            <w:rStyle w:val="Hyperlink"/>
          </w:rPr>
          <w:t>https://www.ispah.org/wp-content/uploads/2020/11/English-Eight-Investments-That-Work-FINAL.pdf</w:t>
        </w:r>
      </w:hyperlink>
      <w:r w:rsidRPr="00C000B2">
        <w:t xml:space="preserve"> (accessed 23 October 2021).</w:t>
      </w:r>
    </w:p>
    <w:p w14:paraId="1E50443D" w14:textId="77777777" w:rsidR="00EF27EC" w:rsidRPr="00C000B2" w:rsidRDefault="00EF27EC" w:rsidP="00043D21">
      <w:pPr>
        <w:pStyle w:val="References"/>
      </w:pPr>
      <w:r w:rsidRPr="00C000B2">
        <w:t xml:space="preserve">Reece L, Foley BC, Bauman AE, et al. 2017. </w:t>
      </w:r>
      <w:r w:rsidRPr="00C000B2">
        <w:rPr>
          <w:i/>
        </w:rPr>
        <w:t xml:space="preserve">Towards Best Practice in Promoting Participation in Physical Activity, Sport and Active Recreation: A rapid evidence review. </w:t>
      </w:r>
      <w:r w:rsidRPr="00C000B2">
        <w:t xml:space="preserve">Sydney: SPRINTER Research Group, The University of Sydney. URL: </w:t>
      </w:r>
      <w:hyperlink r:id="rId164" w:history="1">
        <w:r w:rsidR="00956FDC" w:rsidRPr="00956FDC">
          <w:rPr>
            <w:rStyle w:val="Hyperlink"/>
          </w:rPr>
          <w:t>https://www.sport.nsw.gov.au/sites/default/files/2021-04/towards_best_practice_kd9_final.pdf</w:t>
        </w:r>
      </w:hyperlink>
      <w:r w:rsidRPr="00C000B2">
        <w:t xml:space="preserve"> (accessed 30 October 2021).</w:t>
      </w:r>
    </w:p>
    <w:p w14:paraId="0856A989" w14:textId="77777777" w:rsidR="00EF27EC" w:rsidRPr="00C000B2" w:rsidRDefault="00EF27EC" w:rsidP="00043D21">
      <w:pPr>
        <w:pStyle w:val="References"/>
      </w:pPr>
      <w:r w:rsidRPr="00C000B2">
        <w:t xml:space="preserve">Quigley and Watts Ltd. 2014. </w:t>
      </w:r>
      <w:r w:rsidRPr="00C000B2">
        <w:rPr>
          <w:i/>
        </w:rPr>
        <w:t xml:space="preserve">Evidence Snapshot. Promoting Physical Activity at the Local Government Level: Literature review. </w:t>
      </w:r>
      <w:r w:rsidRPr="00C000B2">
        <w:t xml:space="preserve">Agencies for Nutrition Action. URL: </w:t>
      </w:r>
      <w:hyperlink r:id="rId165" w:history="1">
        <w:r w:rsidR="00956FDC" w:rsidRPr="00956FDC">
          <w:rPr>
            <w:rStyle w:val="Hyperlink"/>
          </w:rPr>
          <w:t>https://ana.org.nz/wp-content/uploads/2016/10/Literature-Review-Local-Govt-and-Physical-Activity-Final.pdf</w:t>
        </w:r>
      </w:hyperlink>
      <w:r w:rsidRPr="00C000B2">
        <w:t xml:space="preserve"> (27 October 2021).</w:t>
      </w:r>
    </w:p>
    <w:p w14:paraId="7FB2AA48" w14:textId="77777777" w:rsidR="00EF27EC" w:rsidRPr="00C000B2" w:rsidRDefault="00EF27EC" w:rsidP="00043D21">
      <w:pPr>
        <w:pStyle w:val="References"/>
      </w:pPr>
      <w:r w:rsidRPr="00C000B2">
        <w:t xml:space="preserve">Devarajan R, Prabhakaran D, </w:t>
      </w:r>
      <w:proofErr w:type="spellStart"/>
      <w:r w:rsidRPr="00C000B2">
        <w:t>Goenka</w:t>
      </w:r>
      <w:proofErr w:type="spellEnd"/>
      <w:r w:rsidRPr="00C000B2">
        <w:t xml:space="preserve"> S. 2020. Built environment for physical activity: an urban barometer, surveillance, and monitoring. </w:t>
      </w:r>
      <w:r w:rsidRPr="00C000B2">
        <w:rPr>
          <w:i/>
        </w:rPr>
        <w:t xml:space="preserve">Obesity Reviews </w:t>
      </w:r>
      <w:r w:rsidRPr="00C000B2">
        <w:t>21(1):</w:t>
      </w:r>
      <w:r w:rsidR="00956FDC">
        <w:t> </w:t>
      </w:r>
      <w:r w:rsidRPr="00C000B2">
        <w:t>e12938.</w:t>
      </w:r>
    </w:p>
    <w:p w14:paraId="043B913C" w14:textId="77777777" w:rsidR="00EF27EC" w:rsidRPr="00C000B2" w:rsidRDefault="00EF27EC" w:rsidP="00043D21">
      <w:pPr>
        <w:pStyle w:val="References"/>
      </w:pPr>
      <w:r w:rsidRPr="00C000B2">
        <w:t>Giles-</w:t>
      </w:r>
      <w:proofErr w:type="spellStart"/>
      <w:r w:rsidRPr="00C000B2">
        <w:t>Corti</w:t>
      </w:r>
      <w:proofErr w:type="spellEnd"/>
      <w:r w:rsidRPr="00C000B2">
        <w:t xml:space="preserve"> B, </w:t>
      </w:r>
      <w:proofErr w:type="spellStart"/>
      <w:r w:rsidRPr="00C000B2">
        <w:t>Vernez-Moudon</w:t>
      </w:r>
      <w:proofErr w:type="spellEnd"/>
      <w:r w:rsidRPr="00C000B2">
        <w:t xml:space="preserve"> A, Reis R, et al. 2016. City planning and population health: a global challenge.</w:t>
      </w:r>
      <w:r w:rsidR="00956FDC">
        <w:t xml:space="preserve"> </w:t>
      </w:r>
      <w:r w:rsidRPr="00956FDC">
        <w:rPr>
          <w:i/>
        </w:rPr>
        <w:t xml:space="preserve">The Lancet </w:t>
      </w:r>
      <w:r w:rsidRPr="00C000B2">
        <w:t>388(10062): 2912–24.</w:t>
      </w:r>
    </w:p>
    <w:p w14:paraId="7C3F4EAF" w14:textId="77777777" w:rsidR="00EF27EC" w:rsidRPr="00C000B2" w:rsidRDefault="00EF27EC" w:rsidP="00043D21">
      <w:pPr>
        <w:pStyle w:val="References"/>
      </w:pPr>
      <w:proofErr w:type="spellStart"/>
      <w:r w:rsidRPr="00C000B2">
        <w:t>Kärmeniemi</w:t>
      </w:r>
      <w:proofErr w:type="spellEnd"/>
      <w:r w:rsidRPr="00C000B2">
        <w:t xml:space="preserve"> M, </w:t>
      </w:r>
      <w:proofErr w:type="spellStart"/>
      <w:r w:rsidRPr="00C000B2">
        <w:t>Lankila</w:t>
      </w:r>
      <w:proofErr w:type="spellEnd"/>
      <w:r w:rsidRPr="00C000B2">
        <w:t xml:space="preserve"> T, </w:t>
      </w:r>
      <w:proofErr w:type="spellStart"/>
      <w:r w:rsidRPr="00C000B2">
        <w:t>Ikäheimo</w:t>
      </w:r>
      <w:proofErr w:type="spellEnd"/>
      <w:r w:rsidRPr="00C000B2">
        <w:t xml:space="preserve"> T, et al. 2018. The built environment as a determinant of physical activity: a systematic review of longitudinal studies and natural experiments. </w:t>
      </w:r>
      <w:r w:rsidRPr="00C000B2">
        <w:rPr>
          <w:i/>
        </w:rPr>
        <w:t xml:space="preserve">Annals of </w:t>
      </w:r>
      <w:proofErr w:type="spellStart"/>
      <w:r w:rsidRPr="00C000B2">
        <w:rPr>
          <w:i/>
        </w:rPr>
        <w:t>Behavioral</w:t>
      </w:r>
      <w:proofErr w:type="spellEnd"/>
      <w:r w:rsidRPr="00C000B2">
        <w:rPr>
          <w:i/>
        </w:rPr>
        <w:t xml:space="preserve"> Medicine </w:t>
      </w:r>
      <w:r w:rsidRPr="00C000B2">
        <w:t>52(3): 239–51.</w:t>
      </w:r>
    </w:p>
    <w:p w14:paraId="23BA9001" w14:textId="77777777" w:rsidR="00EF27EC" w:rsidRPr="00C000B2" w:rsidRDefault="00EF27EC" w:rsidP="00043D21">
      <w:pPr>
        <w:pStyle w:val="References"/>
      </w:pPr>
      <w:proofErr w:type="spellStart"/>
      <w:r w:rsidRPr="00C000B2">
        <w:t>Sivam</w:t>
      </w:r>
      <w:proofErr w:type="spellEnd"/>
      <w:r w:rsidRPr="00C000B2">
        <w:t xml:space="preserve"> A, </w:t>
      </w:r>
      <w:proofErr w:type="spellStart"/>
      <w:r w:rsidRPr="00C000B2">
        <w:t>Karuppannan</w:t>
      </w:r>
      <w:proofErr w:type="spellEnd"/>
      <w:r w:rsidRPr="00C000B2">
        <w:t xml:space="preserve"> S, </w:t>
      </w:r>
      <w:proofErr w:type="spellStart"/>
      <w:r w:rsidRPr="00C000B2">
        <w:t>Koohsari</w:t>
      </w:r>
      <w:proofErr w:type="spellEnd"/>
      <w:r w:rsidRPr="00C000B2">
        <w:t xml:space="preserve"> MJ, et al. 2012. Does urban design influence physical activity in the reduction of obesity? A review of evidence. </w:t>
      </w:r>
      <w:r w:rsidRPr="00C000B2">
        <w:rPr>
          <w:i/>
        </w:rPr>
        <w:t xml:space="preserve">Open Urban Studies Journal </w:t>
      </w:r>
      <w:r w:rsidRPr="00C000B2">
        <w:t>5: 14–21.</w:t>
      </w:r>
    </w:p>
    <w:p w14:paraId="473336BA" w14:textId="77777777" w:rsidR="00EF27EC" w:rsidRPr="00C000B2" w:rsidRDefault="00EF27EC" w:rsidP="00043D21">
      <w:pPr>
        <w:pStyle w:val="References"/>
      </w:pPr>
      <w:r w:rsidRPr="00C000B2">
        <w:t xml:space="preserve">Shaw C, Russell M, </w:t>
      </w:r>
      <w:proofErr w:type="spellStart"/>
      <w:r w:rsidRPr="00C000B2">
        <w:t>Keall</w:t>
      </w:r>
      <w:proofErr w:type="spellEnd"/>
      <w:r w:rsidRPr="00C000B2">
        <w:t xml:space="preserve"> M, et al. 2020. Beyond the bicycle: seeing the context of the gender gap in cycling.</w:t>
      </w:r>
      <w:r w:rsidR="00956FDC">
        <w:t xml:space="preserve"> </w:t>
      </w:r>
      <w:r w:rsidRPr="00956FDC">
        <w:rPr>
          <w:i/>
        </w:rPr>
        <w:t xml:space="preserve">Journal of Transport &amp; Health </w:t>
      </w:r>
      <w:r w:rsidRPr="00C000B2">
        <w:t>18: 100871.</w:t>
      </w:r>
    </w:p>
    <w:p w14:paraId="12C75889" w14:textId="77777777" w:rsidR="00EF27EC" w:rsidRPr="00C000B2" w:rsidRDefault="00EF27EC" w:rsidP="00956FDC">
      <w:pPr>
        <w:pStyle w:val="References"/>
        <w:keepNext/>
        <w:keepLines/>
      </w:pPr>
      <w:r w:rsidRPr="00C000B2">
        <w:lastRenderedPageBreak/>
        <w:t xml:space="preserve">Smith M, Hosking J, Woodward A, et al. 2017. Systematic literature review of built environment effects on physical activity and active transport – an update and new findings on health equity. </w:t>
      </w:r>
      <w:r w:rsidRPr="00C000B2">
        <w:rPr>
          <w:i/>
        </w:rPr>
        <w:t xml:space="preserve">International Journal of </w:t>
      </w:r>
      <w:proofErr w:type="spellStart"/>
      <w:r w:rsidRPr="00C000B2">
        <w:rPr>
          <w:i/>
        </w:rPr>
        <w:t>Behavioral</w:t>
      </w:r>
      <w:proofErr w:type="spellEnd"/>
      <w:r w:rsidRPr="00C000B2">
        <w:rPr>
          <w:i/>
        </w:rPr>
        <w:t xml:space="preserve"> Nutrition and Physical Activity </w:t>
      </w:r>
      <w:r w:rsidRPr="00C000B2">
        <w:t>14(1): 1–27.</w:t>
      </w:r>
    </w:p>
    <w:p w14:paraId="049C46E1" w14:textId="77777777" w:rsidR="00EF27EC" w:rsidRPr="00C000B2" w:rsidRDefault="00EF27EC" w:rsidP="00043D21">
      <w:pPr>
        <w:pStyle w:val="References"/>
      </w:pPr>
      <w:proofErr w:type="spellStart"/>
      <w:r w:rsidRPr="00C000B2">
        <w:t>Mizdrak</w:t>
      </w:r>
      <w:proofErr w:type="spellEnd"/>
      <w:r w:rsidRPr="00C000B2">
        <w:t xml:space="preserve"> A, Blakely T, Cleghorn CL, et al. 2019. Potential of active transport to improve health, reduce healthcare costs, and reduce greenhouse gas emissions: a modelling study. </w:t>
      </w:r>
      <w:r w:rsidRPr="00C000B2">
        <w:rPr>
          <w:i/>
        </w:rPr>
        <w:t xml:space="preserve">PLOS One </w:t>
      </w:r>
      <w:r w:rsidRPr="00C000B2">
        <w:t>14(7): e0219316.</w:t>
      </w:r>
    </w:p>
    <w:p w14:paraId="7A57E7AC" w14:textId="77777777" w:rsidR="00EF27EC" w:rsidRPr="00C000B2" w:rsidRDefault="00EF27EC" w:rsidP="00043D21">
      <w:pPr>
        <w:pStyle w:val="References"/>
      </w:pPr>
      <w:r w:rsidRPr="00C000B2">
        <w:t>Zapata-</w:t>
      </w:r>
      <w:proofErr w:type="spellStart"/>
      <w:r w:rsidRPr="00C000B2">
        <w:t>Diomedi</w:t>
      </w:r>
      <w:proofErr w:type="spellEnd"/>
      <w:r w:rsidRPr="00C000B2">
        <w:t xml:space="preserve"> B, </w:t>
      </w:r>
      <w:proofErr w:type="spellStart"/>
      <w:r w:rsidRPr="00C000B2">
        <w:t>Boulangé</w:t>
      </w:r>
      <w:proofErr w:type="spellEnd"/>
      <w:r w:rsidRPr="00C000B2">
        <w:t xml:space="preserve"> C, Giles-</w:t>
      </w:r>
      <w:proofErr w:type="spellStart"/>
      <w:r w:rsidRPr="00C000B2">
        <w:t>Corti</w:t>
      </w:r>
      <w:proofErr w:type="spellEnd"/>
      <w:r w:rsidRPr="00C000B2">
        <w:t xml:space="preserve"> B, et al. 2019. Physical activity-related health and economic benefits of building walkable neighbourhoods: a modelled comparison between brownfield and greenfield developments. </w:t>
      </w:r>
      <w:r w:rsidRPr="00C000B2">
        <w:rPr>
          <w:i/>
        </w:rPr>
        <w:t xml:space="preserve">International Journal of </w:t>
      </w:r>
      <w:proofErr w:type="spellStart"/>
      <w:r w:rsidRPr="00C000B2">
        <w:rPr>
          <w:i/>
        </w:rPr>
        <w:t>Behavioral</w:t>
      </w:r>
      <w:proofErr w:type="spellEnd"/>
      <w:r w:rsidRPr="00C000B2">
        <w:rPr>
          <w:i/>
        </w:rPr>
        <w:t xml:space="preserve"> Nutrition and Physical Activity </w:t>
      </w:r>
      <w:r w:rsidRPr="00C000B2">
        <w:t>16(1): 1–12.</w:t>
      </w:r>
    </w:p>
    <w:p w14:paraId="195FABB2" w14:textId="77777777" w:rsidR="00EF27EC" w:rsidRPr="00C000B2" w:rsidRDefault="00EF27EC" w:rsidP="00043D21">
      <w:pPr>
        <w:pStyle w:val="References"/>
      </w:pPr>
      <w:r w:rsidRPr="00C000B2">
        <w:t>Zapata-</w:t>
      </w:r>
      <w:proofErr w:type="spellStart"/>
      <w:r w:rsidRPr="00C000B2">
        <w:t>Diomedi</w:t>
      </w:r>
      <w:proofErr w:type="spellEnd"/>
      <w:r w:rsidRPr="00C000B2">
        <w:t xml:space="preserve"> B, Herrera AMM, </w:t>
      </w:r>
      <w:proofErr w:type="spellStart"/>
      <w:r w:rsidRPr="00C000B2">
        <w:t>Veerman</w:t>
      </w:r>
      <w:proofErr w:type="spellEnd"/>
      <w:r w:rsidRPr="00C000B2">
        <w:t xml:space="preserve"> JL. 2016. The effects of built environment attributes on physical activity-related health and health care costs outcomes in Australia. </w:t>
      </w:r>
      <w:r w:rsidRPr="00C000B2">
        <w:rPr>
          <w:i/>
        </w:rPr>
        <w:t xml:space="preserve">Health &amp; Place </w:t>
      </w:r>
      <w:r w:rsidRPr="00C000B2">
        <w:t>42</w:t>
      </w:r>
      <w:r w:rsidR="00956FDC">
        <w:t>:</w:t>
      </w:r>
      <w:r w:rsidRPr="00C000B2">
        <w:t xml:space="preserve"> 19–29.</w:t>
      </w:r>
    </w:p>
    <w:p w14:paraId="064A8909" w14:textId="77777777" w:rsidR="00EF27EC" w:rsidRPr="00C000B2" w:rsidRDefault="00EF27EC" w:rsidP="00043D21">
      <w:pPr>
        <w:pStyle w:val="References"/>
      </w:pPr>
      <w:proofErr w:type="spellStart"/>
      <w:r w:rsidRPr="00C000B2">
        <w:t>Veerman</w:t>
      </w:r>
      <w:proofErr w:type="spellEnd"/>
      <w:r w:rsidRPr="00C000B2">
        <w:t xml:space="preserve"> JL, Zapata-</w:t>
      </w:r>
      <w:proofErr w:type="spellStart"/>
      <w:r w:rsidRPr="00C000B2">
        <w:t>Diomedi</w:t>
      </w:r>
      <w:proofErr w:type="spellEnd"/>
      <w:r w:rsidRPr="00C000B2">
        <w:t xml:space="preserve"> B, Gunn L, et al. 2016. Cost-effectiveness of investing in sidewalks as a means of increasing physical activity: a RESIDE modelling study. </w:t>
      </w:r>
      <w:r w:rsidRPr="00C000B2">
        <w:rPr>
          <w:i/>
        </w:rPr>
        <w:t xml:space="preserve">BMJ Open </w:t>
      </w:r>
      <w:r w:rsidRPr="00C000B2">
        <w:t>6(9): e011617.</w:t>
      </w:r>
    </w:p>
    <w:p w14:paraId="7477C8AD" w14:textId="77777777" w:rsidR="00EF27EC" w:rsidRPr="00C000B2" w:rsidRDefault="00EF27EC" w:rsidP="00043D21">
      <w:pPr>
        <w:pStyle w:val="References"/>
      </w:pPr>
      <w:r w:rsidRPr="00C000B2">
        <w:t xml:space="preserve">Jones RA, Blackburn NE, Woods C, et al. 2019. Interventions promoting active transport to school in children: a systematic review and meta-analysis. </w:t>
      </w:r>
      <w:r w:rsidRPr="00C000B2">
        <w:rPr>
          <w:i/>
        </w:rPr>
        <w:t xml:space="preserve">Preventive Medicine </w:t>
      </w:r>
      <w:r w:rsidRPr="00C000B2">
        <w:t>123: 232–41.</w:t>
      </w:r>
    </w:p>
    <w:p w14:paraId="325A8DB5" w14:textId="77777777" w:rsidR="00EF27EC" w:rsidRPr="00C000B2" w:rsidRDefault="00EF27EC" w:rsidP="00043D21">
      <w:pPr>
        <w:pStyle w:val="References"/>
      </w:pPr>
      <w:proofErr w:type="spellStart"/>
      <w:r w:rsidRPr="00C000B2">
        <w:t>Schönbach</w:t>
      </w:r>
      <w:proofErr w:type="spellEnd"/>
      <w:r w:rsidRPr="00C000B2">
        <w:t xml:space="preserve"> DM, Altenburg TM, Marques A, et al. 2020. Strategies and effects of school-based interventions to promote active school transportation by bicycle among children and adolescents: a systematic review. </w:t>
      </w:r>
      <w:r w:rsidRPr="00C000B2">
        <w:rPr>
          <w:i/>
        </w:rPr>
        <w:t xml:space="preserve">International Journal of </w:t>
      </w:r>
      <w:proofErr w:type="spellStart"/>
      <w:r w:rsidRPr="00C000B2">
        <w:rPr>
          <w:i/>
        </w:rPr>
        <w:t>Behavioral</w:t>
      </w:r>
      <w:proofErr w:type="spellEnd"/>
      <w:r w:rsidRPr="00C000B2">
        <w:rPr>
          <w:i/>
        </w:rPr>
        <w:t xml:space="preserve"> Nutrition and Physical Activity </w:t>
      </w:r>
      <w:r w:rsidRPr="00C000B2">
        <w:t>17(1): 1–17.</w:t>
      </w:r>
    </w:p>
    <w:p w14:paraId="56FB3224" w14:textId="77777777" w:rsidR="00EF27EC" w:rsidRPr="00C000B2" w:rsidRDefault="00EF27EC" w:rsidP="00043D21">
      <w:pPr>
        <w:pStyle w:val="References"/>
      </w:pPr>
      <w:r w:rsidRPr="00C000B2">
        <w:t xml:space="preserve">Stewart G, </w:t>
      </w:r>
      <w:proofErr w:type="spellStart"/>
      <w:r w:rsidRPr="00C000B2">
        <w:t>Anokye</w:t>
      </w:r>
      <w:proofErr w:type="spellEnd"/>
      <w:r w:rsidRPr="00C000B2">
        <w:t xml:space="preserve"> NK, </w:t>
      </w:r>
      <w:proofErr w:type="spellStart"/>
      <w:r w:rsidRPr="00C000B2">
        <w:t>Pokhrel</w:t>
      </w:r>
      <w:proofErr w:type="spellEnd"/>
      <w:r w:rsidRPr="00C000B2">
        <w:t xml:space="preserve"> S. 2016. Quantifying the contribution of utility cycling to population levels of physical activity: an analysis of the Active People Survey. </w:t>
      </w:r>
      <w:r w:rsidRPr="00C000B2">
        <w:rPr>
          <w:i/>
        </w:rPr>
        <w:t xml:space="preserve">Journal of Public Health </w:t>
      </w:r>
      <w:r w:rsidRPr="00C000B2">
        <w:t>38(4): 644–52.</w:t>
      </w:r>
    </w:p>
    <w:p w14:paraId="7DBF83AA" w14:textId="77777777" w:rsidR="00EF27EC" w:rsidRPr="00C000B2" w:rsidRDefault="00EF27EC" w:rsidP="00043D21">
      <w:pPr>
        <w:pStyle w:val="References"/>
      </w:pPr>
      <w:proofErr w:type="spellStart"/>
      <w:r w:rsidRPr="00C000B2">
        <w:t>Larouche</w:t>
      </w:r>
      <w:proofErr w:type="spellEnd"/>
      <w:r w:rsidRPr="00C000B2">
        <w:t xml:space="preserve"> R, Saunders TJ, Faulkner GEJ, et al. 2014. Associations between active school transport and physical activity, body composition, and cardiovascular fitness: a systematic review of 68 studies. </w:t>
      </w:r>
      <w:r w:rsidRPr="00C000B2">
        <w:rPr>
          <w:i/>
        </w:rPr>
        <w:t xml:space="preserve">Journal of Physical Activity and Health </w:t>
      </w:r>
      <w:r w:rsidRPr="00C000B2">
        <w:t>11(1): 206–27.</w:t>
      </w:r>
    </w:p>
    <w:p w14:paraId="372B02E0" w14:textId="77777777" w:rsidR="00EF27EC" w:rsidRPr="00C000B2" w:rsidRDefault="00EF27EC" w:rsidP="00043D21">
      <w:pPr>
        <w:pStyle w:val="References"/>
      </w:pPr>
      <w:r w:rsidRPr="00C000B2">
        <w:t xml:space="preserve">Laverty AA, Goodman A, </w:t>
      </w:r>
      <w:proofErr w:type="spellStart"/>
      <w:r w:rsidRPr="00C000B2">
        <w:t>Aldred</w:t>
      </w:r>
      <w:proofErr w:type="spellEnd"/>
      <w:r w:rsidRPr="00C000B2">
        <w:t xml:space="preserve"> R. 2021. Low traffic neighbourhoods and population health. </w:t>
      </w:r>
      <w:r w:rsidRPr="00C000B2">
        <w:rPr>
          <w:i/>
        </w:rPr>
        <w:t xml:space="preserve">BMJ </w:t>
      </w:r>
      <w:r w:rsidRPr="00C000B2">
        <w:t>372: n443. DOI: 10.1136/</w:t>
      </w:r>
      <w:proofErr w:type="gramStart"/>
      <w:r w:rsidRPr="00C000B2">
        <w:t>bmj.n</w:t>
      </w:r>
      <w:proofErr w:type="gramEnd"/>
      <w:r w:rsidRPr="00C000B2">
        <w:t>443 (accessed 29 October 2021).</w:t>
      </w:r>
    </w:p>
    <w:p w14:paraId="081A176E" w14:textId="77777777" w:rsidR="00EF27EC" w:rsidRPr="00C000B2" w:rsidRDefault="00EF27EC" w:rsidP="00043D21">
      <w:pPr>
        <w:pStyle w:val="References"/>
      </w:pPr>
      <w:r w:rsidRPr="00C000B2">
        <w:t xml:space="preserve">New Zealand Government. 2020. </w:t>
      </w:r>
      <w:r w:rsidRPr="00C000B2">
        <w:rPr>
          <w:i/>
        </w:rPr>
        <w:t>Government Policy Statement on Land Transport 2021/2022</w:t>
      </w:r>
      <w:r w:rsidR="00956FDC">
        <w:rPr>
          <w:i/>
        </w:rPr>
        <w:t>–</w:t>
      </w:r>
      <w:r w:rsidRPr="00C000B2">
        <w:rPr>
          <w:i/>
        </w:rPr>
        <w:t>2030/2031</w:t>
      </w:r>
      <w:r w:rsidRPr="00C000B2">
        <w:t xml:space="preserve">. Wellington: New Zealand Government. URL: </w:t>
      </w:r>
      <w:hyperlink r:id="rId166" w:history="1">
        <w:r w:rsidR="00956FDC" w:rsidRPr="00956FDC">
          <w:rPr>
            <w:rStyle w:val="Hyperlink"/>
          </w:rPr>
          <w:t>https://www.transport.govt.nz//assets/Uploads/Paper/GPS2021.pdf</w:t>
        </w:r>
      </w:hyperlink>
      <w:r w:rsidRPr="00C000B2">
        <w:t xml:space="preserve"> (accessed 1</w:t>
      </w:r>
      <w:r w:rsidR="00956FDC">
        <w:t> </w:t>
      </w:r>
      <w:r w:rsidRPr="00C000B2">
        <w:t>November 2021).</w:t>
      </w:r>
    </w:p>
    <w:p w14:paraId="6C019872" w14:textId="77777777" w:rsidR="00EF27EC" w:rsidRPr="00C000B2" w:rsidRDefault="00EF27EC" w:rsidP="00043D21">
      <w:pPr>
        <w:pStyle w:val="References"/>
      </w:pPr>
      <w:r w:rsidRPr="00C000B2">
        <w:t xml:space="preserve">Waka Kotahi NZ Transport Agency. 2019. </w:t>
      </w:r>
      <w:r w:rsidRPr="00C000B2">
        <w:rPr>
          <w:i/>
        </w:rPr>
        <w:t xml:space="preserve">Keeping Cities Moving: Increasing the wellbeing of New Zealand’s cities by rowing the share of travel by public transport, walking and cycling. </w:t>
      </w:r>
      <w:r w:rsidRPr="00C000B2">
        <w:t xml:space="preserve">Wellington: Waka Kotahi NZ Transport Agency. URL: </w:t>
      </w:r>
      <w:hyperlink r:id="rId167" w:history="1">
        <w:r w:rsidR="00956FDC" w:rsidRPr="00956FDC">
          <w:rPr>
            <w:rStyle w:val="Hyperlink"/>
          </w:rPr>
          <w:t>https://www.nzta.govt.nz/assets/resources/keeping-cities-moving/Keeping-cities-moving.pdf</w:t>
        </w:r>
      </w:hyperlink>
      <w:r w:rsidRPr="00C000B2">
        <w:t xml:space="preserve"> (accessed 30 October 2021).</w:t>
      </w:r>
    </w:p>
    <w:p w14:paraId="1442442E" w14:textId="77777777" w:rsidR="00EF27EC" w:rsidRPr="00C000B2" w:rsidRDefault="00EF27EC" w:rsidP="00043D21">
      <w:pPr>
        <w:pStyle w:val="References"/>
      </w:pPr>
      <w:r w:rsidRPr="00C000B2">
        <w:lastRenderedPageBreak/>
        <w:t xml:space="preserve">Waka Kotahi NZ Transport Agency. 2021. Keeping cities moving. URL: </w:t>
      </w:r>
      <w:hyperlink r:id="rId168" w:history="1">
        <w:r w:rsidR="00956FDC" w:rsidRPr="00956FDC">
          <w:rPr>
            <w:rStyle w:val="Hyperlink"/>
          </w:rPr>
          <w:t>https://www.nzta.govt.nz/walking-cycling-and-public-transport/keeping-cities-moving/</w:t>
        </w:r>
      </w:hyperlink>
      <w:r w:rsidRPr="00C000B2">
        <w:t xml:space="preserve"> (accessed 30 October 2021).</w:t>
      </w:r>
    </w:p>
    <w:p w14:paraId="4D3E4871" w14:textId="77777777" w:rsidR="00EF27EC" w:rsidRPr="00C000B2" w:rsidRDefault="00EF27EC" w:rsidP="00043D21">
      <w:pPr>
        <w:pStyle w:val="References"/>
      </w:pPr>
      <w:proofErr w:type="spellStart"/>
      <w:r w:rsidRPr="00C000B2">
        <w:t>Arundell</w:t>
      </w:r>
      <w:proofErr w:type="spellEnd"/>
      <w:r w:rsidRPr="00C000B2">
        <w:t xml:space="preserve"> L, Salmon J, </w:t>
      </w:r>
      <w:proofErr w:type="spellStart"/>
      <w:r w:rsidRPr="00C000B2">
        <w:t>Koorts</w:t>
      </w:r>
      <w:proofErr w:type="spellEnd"/>
      <w:r w:rsidRPr="00C000B2">
        <w:t xml:space="preserve"> H, et al. 2019. Exploring when and how adolescents sit: cross-sectional analysis of </w:t>
      </w:r>
      <w:proofErr w:type="spellStart"/>
      <w:r w:rsidRPr="00C000B2">
        <w:t>activPAL</w:t>
      </w:r>
      <w:proofErr w:type="spellEnd"/>
      <w:r w:rsidRPr="00C000B2">
        <w:t xml:space="preserve">-measured patterns of daily sitting time, </w:t>
      </w:r>
      <w:proofErr w:type="gramStart"/>
      <w:r w:rsidRPr="00C000B2">
        <w:t>bouts</w:t>
      </w:r>
      <w:proofErr w:type="gramEnd"/>
      <w:r w:rsidRPr="00C000B2">
        <w:t xml:space="preserve"> and breaks. </w:t>
      </w:r>
      <w:r w:rsidRPr="00C000B2">
        <w:rPr>
          <w:i/>
        </w:rPr>
        <w:t xml:space="preserve">BMC Public Health </w:t>
      </w:r>
      <w:r w:rsidRPr="00C000B2">
        <w:t>19(1): 653. DOI: 10.1186/s12889-019-6960-5 (accessed 27 October 2021).</w:t>
      </w:r>
    </w:p>
    <w:p w14:paraId="696DE593" w14:textId="77777777" w:rsidR="00EF27EC" w:rsidRPr="00C000B2" w:rsidRDefault="00EF27EC" w:rsidP="00043D21">
      <w:pPr>
        <w:pStyle w:val="References"/>
      </w:pPr>
      <w:r w:rsidRPr="00C000B2">
        <w:t xml:space="preserve">Reed JL, Prince SA, Elliott CG, et al. 2017. Impact of workplace physical activity interventions on physical activity and cardiometabolic health among working-age women: a systematic review and meta-analysis. </w:t>
      </w:r>
      <w:r w:rsidRPr="00C000B2">
        <w:rPr>
          <w:i/>
        </w:rPr>
        <w:t xml:space="preserve">Circulation: Cardiovascular Quality and Outcomes </w:t>
      </w:r>
      <w:r w:rsidRPr="00C000B2">
        <w:t>10(2): e003516.</w:t>
      </w:r>
    </w:p>
    <w:p w14:paraId="380D2007" w14:textId="77777777" w:rsidR="00EF27EC" w:rsidRPr="00C000B2" w:rsidRDefault="00EF27EC" w:rsidP="00043D21">
      <w:pPr>
        <w:pStyle w:val="References"/>
      </w:pPr>
      <w:r w:rsidRPr="00C000B2">
        <w:t xml:space="preserve">Murray JM, Brennan SF, French DP, et al. 2017. Effectiveness of physical activity interventions in achieving behaviour change maintenance in young and </w:t>
      </w:r>
      <w:proofErr w:type="gramStart"/>
      <w:r w:rsidRPr="00C000B2">
        <w:t>middle aged</w:t>
      </w:r>
      <w:proofErr w:type="gramEnd"/>
      <w:r w:rsidRPr="00C000B2">
        <w:t xml:space="preserve"> adults: a systematic review and meta-analysis. </w:t>
      </w:r>
      <w:r w:rsidRPr="00C000B2">
        <w:rPr>
          <w:i/>
        </w:rPr>
        <w:t xml:space="preserve">Social Science &amp; Medicine </w:t>
      </w:r>
      <w:r w:rsidRPr="00C000B2">
        <w:t>192: 125–33.</w:t>
      </w:r>
    </w:p>
    <w:p w14:paraId="6A928E66" w14:textId="77777777" w:rsidR="00EF27EC" w:rsidRPr="00C000B2" w:rsidRDefault="00EF27EC" w:rsidP="00043D21">
      <w:pPr>
        <w:pStyle w:val="References"/>
      </w:pPr>
      <w:r w:rsidRPr="00C000B2">
        <w:t xml:space="preserve">Bellew B, Nau T, Smith B, et al (eds). 2020. </w:t>
      </w:r>
      <w:r w:rsidRPr="00C000B2">
        <w:rPr>
          <w:i/>
        </w:rPr>
        <w:t xml:space="preserve">Getting Australia Active III: A systems approach to physical activity for policy makers. </w:t>
      </w:r>
      <w:r w:rsidRPr="00C000B2">
        <w:t>Sydney: Australian Prevention Partnership Centre and The University of Sydney.</w:t>
      </w:r>
    </w:p>
    <w:p w14:paraId="136DC170" w14:textId="77777777" w:rsidR="00EF27EC" w:rsidRPr="00C000B2" w:rsidRDefault="00EF27EC" w:rsidP="00043D21">
      <w:pPr>
        <w:pStyle w:val="References"/>
      </w:pPr>
      <w:r w:rsidRPr="00C000B2">
        <w:t xml:space="preserve">Van </w:t>
      </w:r>
      <w:proofErr w:type="spellStart"/>
      <w:r w:rsidRPr="00C000B2">
        <w:t>Dongen</w:t>
      </w:r>
      <w:proofErr w:type="spellEnd"/>
      <w:r w:rsidRPr="00C000B2">
        <w:t xml:space="preserve"> J, Proper K, Van Wier M, et al. 2011. Systematic review on the financial return of worksite health promotion programmes aimed at improving nutrition and/or increasing physical activity. </w:t>
      </w:r>
      <w:r w:rsidRPr="00C000B2">
        <w:rPr>
          <w:i/>
        </w:rPr>
        <w:t xml:space="preserve">Obesity Reviews </w:t>
      </w:r>
      <w:r w:rsidRPr="00C000B2">
        <w:t>12(12): 1031–49.</w:t>
      </w:r>
    </w:p>
    <w:p w14:paraId="74A2AC1E" w14:textId="77777777" w:rsidR="00EF27EC" w:rsidRPr="00C000B2" w:rsidRDefault="00EF27EC" w:rsidP="00043D21">
      <w:pPr>
        <w:pStyle w:val="References"/>
      </w:pPr>
      <w:r w:rsidRPr="00C000B2">
        <w:t xml:space="preserve">Te Hiringa Hauora | Health Promotion Agency. </w:t>
      </w:r>
      <w:proofErr w:type="spellStart"/>
      <w:r w:rsidRPr="00C000B2">
        <w:t>nd</w:t>
      </w:r>
      <w:proofErr w:type="spellEnd"/>
      <w:r w:rsidRPr="00C000B2">
        <w:t xml:space="preserve">. </w:t>
      </w:r>
      <w:r w:rsidRPr="00C000B2">
        <w:rPr>
          <w:i/>
        </w:rPr>
        <w:t xml:space="preserve">A Guide to Sitting Less and Moving More </w:t>
      </w:r>
      <w:proofErr w:type="gramStart"/>
      <w:r w:rsidRPr="00C000B2">
        <w:rPr>
          <w:i/>
        </w:rPr>
        <w:t>For</w:t>
      </w:r>
      <w:proofErr w:type="gramEnd"/>
      <w:r w:rsidRPr="00C000B2">
        <w:rPr>
          <w:i/>
        </w:rPr>
        <w:t xml:space="preserve"> Office Workplaces. </w:t>
      </w:r>
      <w:r w:rsidRPr="00C000B2">
        <w:t xml:space="preserve">Te Hiringa Hauora | Health Promotion Agency. URL: </w:t>
      </w:r>
      <w:hyperlink r:id="rId169" w:history="1">
        <w:r w:rsidR="00956FDC" w:rsidRPr="00956FDC">
          <w:rPr>
            <w:rStyle w:val="Hyperlink"/>
          </w:rPr>
          <w:t>https://wellplace.nz/assets/Uploads/ Resource-files/Move-more-resources/A-guide-to-sitting-less-and-moving-more-in-your-workplace-WEB.pdf</w:t>
        </w:r>
      </w:hyperlink>
      <w:r w:rsidRPr="00C000B2">
        <w:t xml:space="preserve"> (accessed 30 October 2021).</w:t>
      </w:r>
    </w:p>
    <w:p w14:paraId="1FB1F136" w14:textId="77777777" w:rsidR="00EF27EC" w:rsidRPr="00C000B2" w:rsidRDefault="00EF27EC" w:rsidP="00043D21">
      <w:pPr>
        <w:pStyle w:val="References"/>
      </w:pPr>
      <w:r w:rsidRPr="00C000B2">
        <w:t xml:space="preserve">Messing S, </w:t>
      </w:r>
      <w:proofErr w:type="spellStart"/>
      <w:r w:rsidRPr="00C000B2">
        <w:t>Rütten</w:t>
      </w:r>
      <w:proofErr w:type="spellEnd"/>
      <w:r w:rsidRPr="00C000B2">
        <w:t xml:space="preserve"> A, Abu-Omar K, et al. 2019. How can physical activity be promoted among children and adolescents? A systematic review of reviews across settings. </w:t>
      </w:r>
      <w:r w:rsidRPr="00C000B2">
        <w:rPr>
          <w:i/>
        </w:rPr>
        <w:t xml:space="preserve">Frontiers in Public Health </w:t>
      </w:r>
      <w:r w:rsidRPr="00C000B2">
        <w:t>7: 55.</w:t>
      </w:r>
    </w:p>
    <w:p w14:paraId="087F7744" w14:textId="77777777" w:rsidR="00EF27EC" w:rsidRPr="00C000B2" w:rsidRDefault="00EF27EC" w:rsidP="00043D21">
      <w:pPr>
        <w:pStyle w:val="References"/>
      </w:pPr>
      <w:proofErr w:type="spellStart"/>
      <w:r w:rsidRPr="00C000B2">
        <w:t>Mizdrak</w:t>
      </w:r>
      <w:proofErr w:type="spellEnd"/>
      <w:r w:rsidRPr="00C000B2">
        <w:t xml:space="preserve"> A, Shaw C, Lynch B, et al. 2021. The potential of school-based physical education to increase physical activity in Aotearoa New Zealand children and young people: a modelling study. </w:t>
      </w:r>
      <w:r w:rsidRPr="00C000B2">
        <w:rPr>
          <w:i/>
        </w:rPr>
        <w:t xml:space="preserve">New Zealand Medical Journal </w:t>
      </w:r>
      <w:r w:rsidRPr="00C000B2">
        <w:t>134(1531): 23–35.</w:t>
      </w:r>
    </w:p>
    <w:p w14:paraId="1D0F2C98" w14:textId="77777777" w:rsidR="00EF27EC" w:rsidRPr="00C000B2" w:rsidRDefault="00EF27EC" w:rsidP="00043D21">
      <w:pPr>
        <w:pStyle w:val="References"/>
      </w:pPr>
      <w:proofErr w:type="spellStart"/>
      <w:r w:rsidRPr="00C000B2">
        <w:t>Ooms</w:t>
      </w:r>
      <w:proofErr w:type="spellEnd"/>
      <w:r w:rsidRPr="00C000B2">
        <w:t xml:space="preserve"> L, Veenhof C, Schipper-van </w:t>
      </w:r>
      <w:proofErr w:type="spellStart"/>
      <w:r w:rsidRPr="00C000B2">
        <w:t>Veldhoven</w:t>
      </w:r>
      <w:proofErr w:type="spellEnd"/>
      <w:r w:rsidRPr="00C000B2">
        <w:t xml:space="preserve"> N, et al. 2015. Sporting programs for inactive population groups: factors influencing implementation in the organized sports setting. </w:t>
      </w:r>
      <w:r w:rsidRPr="00C000B2">
        <w:rPr>
          <w:i/>
        </w:rPr>
        <w:t xml:space="preserve">BMC Sports Science, Medicine and Rehabilitation </w:t>
      </w:r>
      <w:r w:rsidRPr="00C000B2">
        <w:t>7(1): 1–14.</w:t>
      </w:r>
    </w:p>
    <w:p w14:paraId="6A2E823B" w14:textId="77777777" w:rsidR="00EF27EC" w:rsidRPr="00C000B2" w:rsidRDefault="00EF27EC" w:rsidP="00043D21">
      <w:pPr>
        <w:pStyle w:val="References"/>
      </w:pPr>
      <w:proofErr w:type="spellStart"/>
      <w:r w:rsidRPr="00C000B2">
        <w:t>Mooses</w:t>
      </w:r>
      <w:proofErr w:type="spellEnd"/>
      <w:r w:rsidRPr="00C000B2">
        <w:t xml:space="preserve"> K, Kull M. 2020. The participation in organised sport doubles the odds of meeting physical activity recommendations in 7–12-year-old children. </w:t>
      </w:r>
      <w:r w:rsidRPr="00C000B2">
        <w:rPr>
          <w:i/>
        </w:rPr>
        <w:t xml:space="preserve">European Journal of Sport Science </w:t>
      </w:r>
      <w:r w:rsidRPr="00C000B2">
        <w:t>20(4): 563–9.</w:t>
      </w:r>
    </w:p>
    <w:p w14:paraId="1547086C" w14:textId="77777777" w:rsidR="00EF27EC" w:rsidRPr="00C000B2" w:rsidRDefault="00EF27EC" w:rsidP="00043D21">
      <w:pPr>
        <w:pStyle w:val="References"/>
      </w:pPr>
      <w:r w:rsidRPr="00C000B2">
        <w:t xml:space="preserve">Robinson TN. 2010. Stealth interventions for obesity prevention and control: motivating </w:t>
      </w:r>
      <w:proofErr w:type="spellStart"/>
      <w:r w:rsidRPr="00C000B2">
        <w:t>behavior</w:t>
      </w:r>
      <w:proofErr w:type="spellEnd"/>
      <w:r w:rsidRPr="00C000B2">
        <w:t xml:space="preserve"> change. In L </w:t>
      </w:r>
      <w:proofErr w:type="spellStart"/>
      <w:r w:rsidRPr="00C000B2">
        <w:t>Dubé</w:t>
      </w:r>
      <w:proofErr w:type="spellEnd"/>
      <w:r w:rsidRPr="00C000B2">
        <w:t xml:space="preserve">, A Bechara, A </w:t>
      </w:r>
      <w:proofErr w:type="spellStart"/>
      <w:r w:rsidRPr="00C000B2">
        <w:t>Dagher</w:t>
      </w:r>
      <w:proofErr w:type="spellEnd"/>
      <w:r w:rsidRPr="00C000B2">
        <w:t xml:space="preserve">, et al (eds) </w:t>
      </w:r>
      <w:r w:rsidRPr="00C000B2">
        <w:rPr>
          <w:i/>
        </w:rPr>
        <w:t xml:space="preserve">Obesity Prevention </w:t>
      </w:r>
      <w:r w:rsidRPr="00C000B2">
        <w:t>(pp 319–27). Academic Press. DOI: 10.1016/ B978-0-12-374387-9.00025-8 (accessed 30 October 2021).</w:t>
      </w:r>
    </w:p>
    <w:p w14:paraId="611ADBCB" w14:textId="77777777" w:rsidR="00EF27EC" w:rsidRPr="00C000B2" w:rsidRDefault="00EF27EC" w:rsidP="00956FDC">
      <w:pPr>
        <w:pStyle w:val="References"/>
        <w:keepNext/>
      </w:pPr>
      <w:r w:rsidRPr="00C000B2">
        <w:lastRenderedPageBreak/>
        <w:t xml:space="preserve">Sport New Zealand. 2016. </w:t>
      </w:r>
      <w:r w:rsidRPr="00C000B2">
        <w:rPr>
          <w:i/>
        </w:rPr>
        <w:t>Future Proofing the Active Recreation Sector: A planning framework</w:t>
      </w:r>
      <w:r w:rsidRPr="00C000B2">
        <w:t>. Wellington: Sport New Zealand.</w:t>
      </w:r>
    </w:p>
    <w:p w14:paraId="5E6EDC4D" w14:textId="77777777" w:rsidR="00EF27EC" w:rsidRPr="00C000B2" w:rsidRDefault="00EF27EC" w:rsidP="00043D21">
      <w:pPr>
        <w:pStyle w:val="References"/>
      </w:pPr>
      <w:r w:rsidRPr="00C000B2">
        <w:t xml:space="preserve">Sport New Zealand. 2015. </w:t>
      </w:r>
      <w:r w:rsidRPr="00C000B2">
        <w:rPr>
          <w:i/>
        </w:rPr>
        <w:t>Sport and Active Recreation in the Lives of New Zealand Adults: 2013/14 Active New Zealand Survey Results</w:t>
      </w:r>
      <w:r w:rsidRPr="00C000B2">
        <w:t>. Wellington: Sport New Zealand.</w:t>
      </w:r>
    </w:p>
    <w:p w14:paraId="5E0662D8" w14:textId="77777777" w:rsidR="00EF27EC" w:rsidRPr="00C000B2" w:rsidRDefault="00EF27EC" w:rsidP="00043D21">
      <w:pPr>
        <w:pStyle w:val="References"/>
      </w:pPr>
      <w:r w:rsidRPr="00C000B2">
        <w:t xml:space="preserve">Lee JE, Pope Z, Gao Z. 2018. The role of youth sports in promoting children’s physical activity and preventing </w:t>
      </w:r>
      <w:proofErr w:type="spellStart"/>
      <w:r w:rsidRPr="00C000B2">
        <w:t>pediatric</w:t>
      </w:r>
      <w:proofErr w:type="spellEnd"/>
      <w:r w:rsidRPr="00C000B2">
        <w:t xml:space="preserve"> obesity: a systematic review. </w:t>
      </w:r>
      <w:proofErr w:type="spellStart"/>
      <w:r w:rsidRPr="00C000B2">
        <w:rPr>
          <w:i/>
        </w:rPr>
        <w:t>Behavioral</w:t>
      </w:r>
      <w:proofErr w:type="spellEnd"/>
      <w:r w:rsidRPr="00C000B2">
        <w:rPr>
          <w:i/>
        </w:rPr>
        <w:t xml:space="preserve"> Medicine </w:t>
      </w:r>
      <w:r w:rsidRPr="00C000B2">
        <w:t>44(1): 62–76.</w:t>
      </w:r>
    </w:p>
    <w:p w14:paraId="360ACF63" w14:textId="77777777" w:rsidR="00EF27EC" w:rsidRPr="00C000B2" w:rsidRDefault="00EF27EC" w:rsidP="00043D21">
      <w:pPr>
        <w:pStyle w:val="References"/>
      </w:pPr>
      <w:proofErr w:type="spellStart"/>
      <w:r w:rsidRPr="00C000B2">
        <w:t>Cavill</w:t>
      </w:r>
      <w:proofErr w:type="spellEnd"/>
      <w:r w:rsidRPr="00C000B2">
        <w:t xml:space="preserve"> N, Richardson D, Foster DC. 2012. </w:t>
      </w:r>
      <w:r w:rsidRPr="00C000B2">
        <w:rPr>
          <w:i/>
        </w:rPr>
        <w:t xml:space="preserve">Improving Health through Participation in Sport: A review of research and practice. </w:t>
      </w:r>
      <w:r w:rsidRPr="00C000B2">
        <w:t>Oxford: British Heart Foundation Health Promotion Research Group.</w:t>
      </w:r>
    </w:p>
    <w:p w14:paraId="57C2D76A" w14:textId="77777777" w:rsidR="00EF27EC" w:rsidRPr="00C000B2" w:rsidRDefault="00EF27EC" w:rsidP="00043D21">
      <w:pPr>
        <w:pStyle w:val="References"/>
      </w:pPr>
      <w:r w:rsidRPr="00C000B2">
        <w:t xml:space="preserve">Signal LN, Walton MD, Ni </w:t>
      </w:r>
      <w:proofErr w:type="spellStart"/>
      <w:r w:rsidRPr="00C000B2">
        <w:t>Mhurchu</w:t>
      </w:r>
      <w:proofErr w:type="spellEnd"/>
      <w:r w:rsidRPr="00C000B2">
        <w:t xml:space="preserve"> C, et al. 2013. Tackling ‘wicked’ health promotion problems: </w:t>
      </w:r>
      <w:proofErr w:type="gramStart"/>
      <w:r w:rsidRPr="00C000B2">
        <w:t>a</w:t>
      </w:r>
      <w:proofErr w:type="gramEnd"/>
      <w:r w:rsidRPr="00C000B2">
        <w:t xml:space="preserve"> New Zealand case study. </w:t>
      </w:r>
      <w:r w:rsidRPr="00C000B2">
        <w:rPr>
          <w:i/>
        </w:rPr>
        <w:t>Health Promotional International</w:t>
      </w:r>
      <w:r w:rsidR="00956FDC">
        <w:br/>
      </w:r>
      <w:r w:rsidRPr="00C000B2">
        <w:t>28(1): 84–94. DOI: 10.1093/</w:t>
      </w:r>
      <w:proofErr w:type="spellStart"/>
      <w:r w:rsidRPr="00C000B2">
        <w:t>heapro</w:t>
      </w:r>
      <w:proofErr w:type="spellEnd"/>
      <w:r w:rsidRPr="00C000B2">
        <w:t>/das006 (accessed 27 October 2021).</w:t>
      </w:r>
    </w:p>
    <w:p w14:paraId="68CEDE2A" w14:textId="77777777" w:rsidR="00EF27EC" w:rsidRPr="00C000B2" w:rsidRDefault="00EF27EC" w:rsidP="00043D21">
      <w:pPr>
        <w:pStyle w:val="References"/>
      </w:pPr>
      <w:r w:rsidRPr="00C000B2">
        <w:t xml:space="preserve">Sport New Zealand. </w:t>
      </w:r>
      <w:proofErr w:type="spellStart"/>
      <w:r w:rsidRPr="00C000B2">
        <w:t>nd</w:t>
      </w:r>
      <w:proofErr w:type="spellEnd"/>
      <w:r w:rsidRPr="00C000B2">
        <w:t xml:space="preserve">. Growth of </w:t>
      </w:r>
      <w:r w:rsidR="00956FDC">
        <w:t>W</w:t>
      </w:r>
      <w:r w:rsidRPr="00C000B2">
        <w:t xml:space="preserve">aka </w:t>
      </w:r>
      <w:r w:rsidR="00956FDC">
        <w:t>A</w:t>
      </w:r>
      <w:r w:rsidRPr="00C000B2">
        <w:t xml:space="preserve">ma </w:t>
      </w:r>
      <w:r w:rsidR="00956FDC">
        <w:t>C</w:t>
      </w:r>
      <w:r w:rsidRPr="00C000B2">
        <w:t xml:space="preserve">ase </w:t>
      </w:r>
      <w:r w:rsidR="00956FDC">
        <w:t>S</w:t>
      </w:r>
      <w:r w:rsidRPr="00C000B2">
        <w:t xml:space="preserve">tudy. URL: </w:t>
      </w:r>
      <w:hyperlink r:id="rId170" w:history="1">
        <w:r w:rsidR="00956FDC" w:rsidRPr="00956FDC">
          <w:rPr>
            <w:rStyle w:val="Hyperlink"/>
          </w:rPr>
          <w:t>https://sportnz.org.nz/resources/growth-of-waka-ama/</w:t>
        </w:r>
      </w:hyperlink>
      <w:r w:rsidRPr="00C000B2">
        <w:t xml:space="preserve"> (accessed 27 October 2021).</w:t>
      </w:r>
    </w:p>
    <w:p w14:paraId="632DD73C" w14:textId="77777777" w:rsidR="00EF27EC" w:rsidRPr="00C000B2" w:rsidRDefault="00EF27EC" w:rsidP="00043D21">
      <w:pPr>
        <w:pStyle w:val="References"/>
      </w:pPr>
      <w:r w:rsidRPr="00C000B2">
        <w:t xml:space="preserve">Lamming L, Pears S, Mason D, et al. 2017. What do we know about brief interventions for physical activity that could be delivered in primary care consultations? A systematic review of reviews. </w:t>
      </w:r>
      <w:r w:rsidRPr="00C000B2">
        <w:rPr>
          <w:i/>
        </w:rPr>
        <w:t xml:space="preserve">Preventive Medicine </w:t>
      </w:r>
      <w:r w:rsidRPr="00C000B2">
        <w:t>99: 152–63.</w:t>
      </w:r>
    </w:p>
    <w:p w14:paraId="70A6FACD" w14:textId="77777777" w:rsidR="00EF27EC" w:rsidRPr="00C000B2" w:rsidRDefault="00EF27EC" w:rsidP="00043D21">
      <w:pPr>
        <w:pStyle w:val="References"/>
      </w:pPr>
      <w:r w:rsidRPr="00C000B2">
        <w:t xml:space="preserve">Hamlin MJ, Yule E, Elliot CA, et al. 2016. Long-term effectiveness of the New Zealand Green Prescription primary health care exercise initiative. </w:t>
      </w:r>
      <w:r w:rsidRPr="00C000B2">
        <w:rPr>
          <w:i/>
        </w:rPr>
        <w:t xml:space="preserve">Public Health </w:t>
      </w:r>
      <w:r w:rsidRPr="00C000B2">
        <w:t>140: 102–8. DOI: 10.1016/j.puhe.2016.07.014 (accessed 29 October 2021).</w:t>
      </w:r>
    </w:p>
    <w:p w14:paraId="50F07ACA" w14:textId="77777777" w:rsidR="00EF27EC" w:rsidRPr="00C000B2" w:rsidRDefault="00EF27EC" w:rsidP="00043D21">
      <w:pPr>
        <w:pStyle w:val="References"/>
      </w:pPr>
      <w:r w:rsidRPr="00C000B2">
        <w:t xml:space="preserve">Abu-Omar K, </w:t>
      </w:r>
      <w:proofErr w:type="spellStart"/>
      <w:r w:rsidRPr="00C000B2">
        <w:t>Rütten</w:t>
      </w:r>
      <w:proofErr w:type="spellEnd"/>
      <w:r w:rsidRPr="00C000B2">
        <w:t xml:space="preserve"> A, </w:t>
      </w:r>
      <w:proofErr w:type="spellStart"/>
      <w:r w:rsidRPr="00C000B2">
        <w:t>Burlacu</w:t>
      </w:r>
      <w:proofErr w:type="spellEnd"/>
      <w:r w:rsidRPr="00C000B2">
        <w:t xml:space="preserve"> I, et al. 2017. The cost-effectiveness of physical activity interventions: a systematic review of reviews. </w:t>
      </w:r>
      <w:r w:rsidRPr="00C000B2">
        <w:rPr>
          <w:i/>
        </w:rPr>
        <w:t xml:space="preserve">Preventive Medicine Reports </w:t>
      </w:r>
      <w:r w:rsidRPr="00C000B2">
        <w:t>8: 72–8.</w:t>
      </w:r>
    </w:p>
    <w:p w14:paraId="34A37C03" w14:textId="77777777" w:rsidR="00EF27EC" w:rsidRPr="00C000B2" w:rsidRDefault="00EF27EC" w:rsidP="00043D21">
      <w:pPr>
        <w:pStyle w:val="References"/>
      </w:pPr>
      <w:r w:rsidRPr="00C000B2">
        <w:t xml:space="preserve">Harling M, Stephens K. 2016. </w:t>
      </w:r>
      <w:r w:rsidRPr="00C000B2">
        <w:rPr>
          <w:i/>
        </w:rPr>
        <w:t>Making Every Contact Count (MECC): Consensus statement</w:t>
      </w:r>
      <w:r w:rsidRPr="00C000B2">
        <w:t xml:space="preserve">. NHS England, Public Health England, Health Education England and the national MECC advisory group. URL: </w:t>
      </w:r>
      <w:hyperlink r:id="rId171" w:history="1">
        <w:r w:rsidR="00956FDC" w:rsidRPr="00956FDC">
          <w:rPr>
            <w:rStyle w:val="Hyperlink"/>
          </w:rPr>
          <w:t>https://assets.publishing.service.gov.uk/government/uploads/system/uploads/attachment_data/file/769486/Making_Every_Contact_Count_Consensus_Statement.pdf</w:t>
        </w:r>
      </w:hyperlink>
      <w:r w:rsidRPr="00C000B2">
        <w:t xml:space="preserve"> (accessed 29 October 2021).</w:t>
      </w:r>
    </w:p>
    <w:p w14:paraId="7ED956C1" w14:textId="77777777" w:rsidR="00EF27EC" w:rsidRPr="00C000B2" w:rsidRDefault="00EF27EC" w:rsidP="00043D21">
      <w:pPr>
        <w:pStyle w:val="References"/>
      </w:pPr>
      <w:r w:rsidRPr="00C000B2">
        <w:t xml:space="preserve">Ministry of Health. 2016. </w:t>
      </w:r>
      <w:r w:rsidRPr="00C000B2">
        <w:rPr>
          <w:i/>
        </w:rPr>
        <w:t>Green Prescriptions</w:t>
      </w:r>
      <w:r w:rsidRPr="00C000B2">
        <w:t>. Wellington: Ministry of Health.</w:t>
      </w:r>
    </w:p>
    <w:p w14:paraId="72E217E1" w14:textId="77777777" w:rsidR="00EF27EC" w:rsidRPr="00C000B2" w:rsidRDefault="00EF27EC" w:rsidP="00043D21">
      <w:pPr>
        <w:pStyle w:val="References"/>
      </w:pPr>
      <w:r w:rsidRPr="00C000B2">
        <w:t xml:space="preserve">Research New Zealand. 2018. </w:t>
      </w:r>
      <w:r w:rsidRPr="00C000B2">
        <w:rPr>
          <w:i/>
        </w:rPr>
        <w:t>Green Prescription Active Families Survey Report: May 2018</w:t>
      </w:r>
      <w:r w:rsidRPr="00C000B2">
        <w:t>. Wellington: Ministry of Health.</w:t>
      </w:r>
    </w:p>
    <w:p w14:paraId="66BB16FC" w14:textId="77777777" w:rsidR="00EF27EC" w:rsidRPr="00C000B2" w:rsidRDefault="00EF27EC" w:rsidP="00043D21">
      <w:pPr>
        <w:pStyle w:val="References"/>
      </w:pPr>
      <w:r w:rsidRPr="00C000B2">
        <w:t xml:space="preserve">Armstrong BK. 2004. How sun exposure causes skin cancer: an epidemiological perspective. In D Hill, JM Elwood, D English (eds) </w:t>
      </w:r>
      <w:r w:rsidRPr="00C000B2">
        <w:rPr>
          <w:i/>
        </w:rPr>
        <w:t>Prevention of Skin Cancer</w:t>
      </w:r>
      <w:r w:rsidR="00956FDC">
        <w:br/>
      </w:r>
      <w:r w:rsidRPr="00C000B2">
        <w:t>(pp 89–116). Springer.</w:t>
      </w:r>
    </w:p>
    <w:p w14:paraId="326DB251" w14:textId="77777777" w:rsidR="00EF27EC" w:rsidRPr="00C000B2" w:rsidRDefault="00EF27EC" w:rsidP="00043D21">
      <w:pPr>
        <w:pStyle w:val="References"/>
      </w:pPr>
      <w:r w:rsidRPr="00C000B2">
        <w:t xml:space="preserve">Kennedy C, </w:t>
      </w:r>
      <w:proofErr w:type="spellStart"/>
      <w:r w:rsidRPr="00C000B2">
        <w:t>Willemze</w:t>
      </w:r>
      <w:proofErr w:type="spellEnd"/>
      <w:r w:rsidRPr="00C000B2">
        <w:t xml:space="preserve"> R, de </w:t>
      </w:r>
      <w:proofErr w:type="spellStart"/>
      <w:r w:rsidRPr="00C000B2">
        <w:t>Gruijl</w:t>
      </w:r>
      <w:proofErr w:type="spellEnd"/>
      <w:r w:rsidRPr="00C000B2">
        <w:t xml:space="preserve"> FR, et al. 2003. The influence of painful sunburns and lifetime sun exposure on the risk of actinic keratoses, seborrheic warts, melanocytic nevi, atypical nevi, and skin cancer. </w:t>
      </w:r>
      <w:r w:rsidRPr="00C000B2">
        <w:rPr>
          <w:i/>
        </w:rPr>
        <w:t xml:space="preserve">Journal of Investigative Dermatology </w:t>
      </w:r>
      <w:r w:rsidRPr="00C000B2">
        <w:t>120(6): 1087–93.</w:t>
      </w:r>
    </w:p>
    <w:p w14:paraId="355E8F10" w14:textId="77777777" w:rsidR="00EF27EC" w:rsidRPr="00C000B2" w:rsidRDefault="00EF27EC" w:rsidP="00956FDC">
      <w:pPr>
        <w:pStyle w:val="References"/>
        <w:keepNext/>
      </w:pPr>
      <w:r w:rsidRPr="00C000B2">
        <w:lastRenderedPageBreak/>
        <w:t xml:space="preserve">Dennis L, </w:t>
      </w:r>
      <w:proofErr w:type="spellStart"/>
      <w:r w:rsidRPr="00C000B2">
        <w:t>Vanbeek</w:t>
      </w:r>
      <w:proofErr w:type="spellEnd"/>
      <w:r w:rsidRPr="00C000B2">
        <w:t xml:space="preserve"> M, Freeman L, et al. 2008. Sunburns and risk of cutaneous melanoma: does age matter? A comprehensive meta-analysis. </w:t>
      </w:r>
      <w:r w:rsidRPr="00C000B2">
        <w:rPr>
          <w:i/>
        </w:rPr>
        <w:t xml:space="preserve">Annals of Epidemiology </w:t>
      </w:r>
      <w:r w:rsidRPr="00C000B2">
        <w:t>18(8): 614–27.</w:t>
      </w:r>
    </w:p>
    <w:p w14:paraId="07A33727" w14:textId="77777777" w:rsidR="00EF27EC" w:rsidRPr="00C000B2" w:rsidRDefault="00EF27EC" w:rsidP="00043D21">
      <w:pPr>
        <w:pStyle w:val="References"/>
      </w:pPr>
      <w:proofErr w:type="spellStart"/>
      <w:r w:rsidRPr="00C000B2">
        <w:t>Sneyd</w:t>
      </w:r>
      <w:proofErr w:type="spellEnd"/>
      <w:r w:rsidRPr="00C000B2">
        <w:t xml:space="preserve"> M, Gray A. 2018. </w:t>
      </w:r>
      <w:r w:rsidRPr="00C000B2">
        <w:rPr>
          <w:i/>
        </w:rPr>
        <w:t>Expected Non-melanoma skin (</w:t>
      </w:r>
      <w:proofErr w:type="spellStart"/>
      <w:r w:rsidRPr="00C000B2">
        <w:rPr>
          <w:i/>
        </w:rPr>
        <w:t>Keratinocytic</w:t>
      </w:r>
      <w:proofErr w:type="spellEnd"/>
      <w:r w:rsidRPr="00C000B2">
        <w:rPr>
          <w:i/>
        </w:rPr>
        <w:t>) Cancer Incidence in New Zealand for 2018</w:t>
      </w:r>
      <w:r w:rsidRPr="00C000B2">
        <w:t>. Te Hiringa Hauora | Health Promotion Agency.</w:t>
      </w:r>
    </w:p>
    <w:p w14:paraId="1B877A95" w14:textId="77777777" w:rsidR="00EF27EC" w:rsidRPr="00C000B2" w:rsidRDefault="00EF27EC" w:rsidP="00043D21">
      <w:pPr>
        <w:pStyle w:val="References"/>
      </w:pPr>
      <w:r w:rsidRPr="00C000B2">
        <w:t xml:space="preserve">EHINZ. 2020. </w:t>
      </w:r>
      <w:r w:rsidRPr="00956FDC">
        <w:rPr>
          <w:i/>
        </w:rPr>
        <w:t xml:space="preserve">Melanoma </w:t>
      </w:r>
      <w:r w:rsidR="00956FDC">
        <w:rPr>
          <w:i/>
        </w:rPr>
        <w:t>C</w:t>
      </w:r>
      <w:r w:rsidRPr="00956FDC">
        <w:rPr>
          <w:i/>
        </w:rPr>
        <w:t xml:space="preserve">ancer </w:t>
      </w:r>
      <w:r w:rsidR="00956FDC">
        <w:rPr>
          <w:i/>
        </w:rPr>
        <w:t>R</w:t>
      </w:r>
      <w:r w:rsidRPr="00956FDC">
        <w:rPr>
          <w:i/>
        </w:rPr>
        <w:t>egistrations</w:t>
      </w:r>
      <w:r w:rsidRPr="00C000B2">
        <w:t xml:space="preserve"> [Factsheet]. Wellington: Environmental Health Indicators New Zealand, Massey University.</w:t>
      </w:r>
    </w:p>
    <w:p w14:paraId="37766E70" w14:textId="77777777" w:rsidR="00EF27EC" w:rsidRPr="00C000B2" w:rsidRDefault="00EF27EC" w:rsidP="00043D21">
      <w:pPr>
        <w:pStyle w:val="References"/>
      </w:pPr>
      <w:r w:rsidRPr="00C000B2">
        <w:t xml:space="preserve">Ministry of Health. 2019. </w:t>
      </w:r>
      <w:r w:rsidRPr="00956FDC">
        <w:rPr>
          <w:i/>
        </w:rPr>
        <w:t>Selected Cancers 2015, 2016, 2017</w:t>
      </w:r>
      <w:r w:rsidRPr="00C000B2">
        <w:rPr>
          <w:i/>
        </w:rPr>
        <w:t xml:space="preserve">. </w:t>
      </w:r>
      <w:r w:rsidRPr="00C000B2">
        <w:t xml:space="preserve">URL: </w:t>
      </w:r>
      <w:hyperlink r:id="rId172" w:history="1">
        <w:r w:rsidR="00956FDC" w:rsidRPr="00956FDC">
          <w:rPr>
            <w:rStyle w:val="Hyperlink"/>
          </w:rPr>
          <w:t>https://www.health.govt.nz/publication/selected-cancers-2015-2016-2017</w:t>
        </w:r>
      </w:hyperlink>
      <w:r w:rsidRPr="00C000B2">
        <w:t xml:space="preserve"> (accessed 29 October 2021).</w:t>
      </w:r>
    </w:p>
    <w:p w14:paraId="55777D07" w14:textId="77777777" w:rsidR="00EF27EC" w:rsidRPr="00C000B2" w:rsidRDefault="00EF27EC" w:rsidP="00043D21">
      <w:pPr>
        <w:pStyle w:val="References"/>
      </w:pPr>
      <w:r w:rsidRPr="00C000B2">
        <w:t xml:space="preserve">Ballantine K, Moss R, Watson H. 2020. </w:t>
      </w:r>
      <w:r w:rsidRPr="00C000B2">
        <w:rPr>
          <w:i/>
        </w:rPr>
        <w:t>Adolescent and Young Adult Cancer Incidence and Survival in Aotearoa 2008–2017</w:t>
      </w:r>
      <w:r w:rsidRPr="00C000B2">
        <w:t>. Auckland: AYA Cancer Network Aotearoa.</w:t>
      </w:r>
    </w:p>
    <w:p w14:paraId="6404542D" w14:textId="77777777" w:rsidR="00EF27EC" w:rsidRPr="00C000B2" w:rsidRDefault="00EF27EC" w:rsidP="00043D21">
      <w:pPr>
        <w:pStyle w:val="References"/>
      </w:pPr>
      <w:r w:rsidRPr="00C000B2">
        <w:t xml:space="preserve">NZCCR. 2020. </w:t>
      </w:r>
      <w:r w:rsidRPr="00C000B2">
        <w:rPr>
          <w:i/>
        </w:rPr>
        <w:t>NZCCR Annual Report 2019</w:t>
      </w:r>
      <w:r w:rsidRPr="00C000B2">
        <w:t>. Auckland: New Zealand Children’s Cancer Registry (NZCCR) Working Group.</w:t>
      </w:r>
    </w:p>
    <w:p w14:paraId="151E2C00" w14:textId="77777777" w:rsidR="00EF27EC" w:rsidRPr="00C000B2" w:rsidRDefault="00EF27EC" w:rsidP="00043D21">
      <w:pPr>
        <w:pStyle w:val="References"/>
      </w:pPr>
      <w:r w:rsidRPr="00C000B2">
        <w:t xml:space="preserve">Te Hiringa Hauora | Health Promotion Agency and Melanoma Network of New Zealand. 2017. </w:t>
      </w:r>
      <w:r w:rsidRPr="00B4294E">
        <w:rPr>
          <w:i/>
        </w:rPr>
        <w:t>Skin Cancer Primary Prevention and Early Detection Strategy 2017 to 2022</w:t>
      </w:r>
      <w:r w:rsidRPr="00C000B2">
        <w:t>. Wellington and Auckland: Te Hiringa Hauora</w:t>
      </w:r>
      <w:r w:rsidR="00B4294E">
        <w:t xml:space="preserve"> </w:t>
      </w:r>
      <w:r w:rsidRPr="00C000B2">
        <w:t xml:space="preserve">| Health Promotion Agency and Melanoma Network of New Zealand. URL: </w:t>
      </w:r>
      <w:hyperlink r:id="rId173" w:history="1">
        <w:r w:rsidR="00B4294E" w:rsidRPr="00B4294E">
          <w:rPr>
            <w:rStyle w:val="Hyperlink"/>
          </w:rPr>
          <w:t>https://www.sunsmart.org.nz//sites/default/files/documents/FINAL-Strategy-2017-to-2022.PDF</w:t>
        </w:r>
      </w:hyperlink>
      <w:r w:rsidRPr="00C000B2">
        <w:t xml:space="preserve"> (accessed 28 October 2021).</w:t>
      </w:r>
    </w:p>
    <w:p w14:paraId="418AB3D2" w14:textId="77777777" w:rsidR="00EF27EC" w:rsidRPr="00C000B2" w:rsidRDefault="00EF27EC" w:rsidP="00043D21">
      <w:pPr>
        <w:pStyle w:val="References"/>
      </w:pPr>
      <w:r w:rsidRPr="00C000B2">
        <w:t xml:space="preserve">O’Dea D. 2009. </w:t>
      </w:r>
      <w:r w:rsidRPr="00C000B2">
        <w:rPr>
          <w:i/>
        </w:rPr>
        <w:t xml:space="preserve">The Costs of Skin Cancer to New Zealand. </w:t>
      </w:r>
      <w:r w:rsidRPr="00C000B2">
        <w:t>Wellington: Cancer Society of New Zealand.</w:t>
      </w:r>
    </w:p>
    <w:p w14:paraId="0121657F" w14:textId="77777777" w:rsidR="00EF27EC" w:rsidRPr="00C000B2" w:rsidRDefault="00EF27EC" w:rsidP="00043D21">
      <w:pPr>
        <w:pStyle w:val="References"/>
      </w:pPr>
      <w:r w:rsidRPr="00C000B2">
        <w:t xml:space="preserve">Cancer Society Social and Behavioural Research Unit. 2018. </w:t>
      </w:r>
      <w:r w:rsidRPr="00B4294E">
        <w:rPr>
          <w:i/>
        </w:rPr>
        <w:t xml:space="preserve">Skin </w:t>
      </w:r>
      <w:r w:rsidR="00B4294E" w:rsidRPr="00B4294E">
        <w:rPr>
          <w:i/>
        </w:rPr>
        <w:t>C</w:t>
      </w:r>
      <w:r w:rsidRPr="00B4294E">
        <w:rPr>
          <w:i/>
        </w:rPr>
        <w:t>ancer in New Zealand</w:t>
      </w:r>
      <w:r w:rsidRPr="00C000B2">
        <w:t xml:space="preserve"> [Factsheet]. Dunedin: Cancer Society Social and Behavioural Research Unit. URL: </w:t>
      </w:r>
      <w:hyperlink r:id="rId174" w:history="1">
        <w:r w:rsidR="00B4294E" w:rsidRPr="00B4294E">
          <w:rPr>
            <w:rStyle w:val="Hyperlink"/>
          </w:rPr>
          <w:t>https://www.otago.ac.nz/sbru/otago687389.pdf</w:t>
        </w:r>
      </w:hyperlink>
      <w:r w:rsidRPr="00C000B2">
        <w:t xml:space="preserve"> (accessed 28 October 2021).</w:t>
      </w:r>
    </w:p>
    <w:p w14:paraId="793F6351" w14:textId="77777777" w:rsidR="00EF27EC" w:rsidRPr="00C000B2" w:rsidRDefault="00EF27EC" w:rsidP="00043D21">
      <w:pPr>
        <w:pStyle w:val="References"/>
      </w:pPr>
      <w:r w:rsidRPr="00C000B2">
        <w:t xml:space="preserve">NIWA. 2020. </w:t>
      </w:r>
      <w:r w:rsidRPr="00376431">
        <w:rPr>
          <w:i/>
        </w:rPr>
        <w:t xml:space="preserve">UV and </w:t>
      </w:r>
      <w:r w:rsidR="00376431" w:rsidRPr="00376431">
        <w:rPr>
          <w:i/>
        </w:rPr>
        <w:t>O</w:t>
      </w:r>
      <w:r w:rsidRPr="00376431">
        <w:rPr>
          <w:i/>
        </w:rPr>
        <w:t>zone</w:t>
      </w:r>
      <w:r w:rsidRPr="00C000B2">
        <w:t xml:space="preserve">. URL: </w:t>
      </w:r>
      <w:hyperlink r:id="rId175" w:history="1">
        <w:r w:rsidR="00376431" w:rsidRPr="00376431">
          <w:rPr>
            <w:rStyle w:val="Hyperlink"/>
          </w:rPr>
          <w:t>https://niwa.co.nz/our-services/online-services/uv-ozone</w:t>
        </w:r>
      </w:hyperlink>
      <w:r w:rsidRPr="00C000B2">
        <w:t xml:space="preserve"> (accessed 30 October 2021).</w:t>
      </w:r>
    </w:p>
    <w:p w14:paraId="0FD224BF" w14:textId="77777777" w:rsidR="00EF27EC" w:rsidRPr="00C000B2" w:rsidRDefault="00EF27EC" w:rsidP="00043D21">
      <w:pPr>
        <w:pStyle w:val="References"/>
      </w:pPr>
      <w:proofErr w:type="spellStart"/>
      <w:r w:rsidRPr="00C000B2">
        <w:t>Allinson</w:t>
      </w:r>
      <w:proofErr w:type="spellEnd"/>
      <w:r w:rsidRPr="00C000B2">
        <w:t xml:space="preserve"> S, </w:t>
      </w:r>
      <w:proofErr w:type="spellStart"/>
      <w:r w:rsidRPr="00C000B2">
        <w:t>Asmuss</w:t>
      </w:r>
      <w:proofErr w:type="spellEnd"/>
      <w:r w:rsidRPr="00C000B2">
        <w:t xml:space="preserve"> M, </w:t>
      </w:r>
      <w:proofErr w:type="spellStart"/>
      <w:r w:rsidRPr="00C000B2">
        <w:t>Baldermann</w:t>
      </w:r>
      <w:proofErr w:type="spellEnd"/>
      <w:r w:rsidRPr="00C000B2">
        <w:t xml:space="preserve"> C, et al. 2012. Validity and use of the UV index: report from the UVI working group, Schloss </w:t>
      </w:r>
      <w:proofErr w:type="spellStart"/>
      <w:r w:rsidRPr="00C000B2">
        <w:t>Hohenkammer</w:t>
      </w:r>
      <w:proofErr w:type="spellEnd"/>
      <w:r w:rsidRPr="00C000B2">
        <w:t>, Germany,</w:t>
      </w:r>
      <w:r w:rsidR="00376431">
        <w:br/>
      </w:r>
      <w:r w:rsidRPr="00C000B2">
        <w:t xml:space="preserve">5–7 December 2011. </w:t>
      </w:r>
      <w:r w:rsidRPr="00C000B2">
        <w:rPr>
          <w:i/>
        </w:rPr>
        <w:t xml:space="preserve">Health Physics </w:t>
      </w:r>
      <w:r w:rsidRPr="00C000B2">
        <w:t>103(3): 301–6.</w:t>
      </w:r>
    </w:p>
    <w:p w14:paraId="0BD87E3E" w14:textId="77777777" w:rsidR="00EF27EC" w:rsidRPr="00C000B2" w:rsidRDefault="00EF27EC" w:rsidP="00043D21">
      <w:pPr>
        <w:pStyle w:val="References"/>
      </w:pPr>
      <w:r w:rsidRPr="00C000B2">
        <w:t xml:space="preserve">NIWA. 2020. </w:t>
      </w:r>
      <w:r w:rsidRPr="00376431">
        <w:rPr>
          <w:i/>
        </w:rPr>
        <w:t xml:space="preserve">Geographical and </w:t>
      </w:r>
      <w:r w:rsidR="00376431" w:rsidRPr="00376431">
        <w:rPr>
          <w:i/>
        </w:rPr>
        <w:t>S</w:t>
      </w:r>
      <w:r w:rsidRPr="00376431">
        <w:rPr>
          <w:i/>
        </w:rPr>
        <w:t xml:space="preserve">easonal </w:t>
      </w:r>
      <w:r w:rsidR="00376431" w:rsidRPr="00376431">
        <w:rPr>
          <w:i/>
        </w:rPr>
        <w:t>V</w:t>
      </w:r>
      <w:r w:rsidRPr="00376431">
        <w:rPr>
          <w:i/>
        </w:rPr>
        <w:t>ariation in peak UVI – NZ</w:t>
      </w:r>
      <w:r w:rsidRPr="00C000B2">
        <w:t xml:space="preserve">. URL: </w:t>
      </w:r>
      <w:hyperlink r:id="rId176" w:history="1">
        <w:r w:rsidR="00376431" w:rsidRPr="00376431">
          <w:rPr>
            <w:rStyle w:val="Hyperlink"/>
          </w:rPr>
          <w:t>https://niwa.co.nz/sites/niwa.co.nz/files/sites/default/files/import/attachments/Web_plots.pdf</w:t>
        </w:r>
      </w:hyperlink>
      <w:r w:rsidRPr="00C000B2">
        <w:t xml:space="preserve"> (accessed 30 October 2021).</w:t>
      </w:r>
    </w:p>
    <w:p w14:paraId="0B6FD59C" w14:textId="77777777" w:rsidR="00EF27EC" w:rsidRPr="00C000B2" w:rsidRDefault="00EF27EC" w:rsidP="00043D21">
      <w:pPr>
        <w:pStyle w:val="References"/>
      </w:pPr>
      <w:r w:rsidRPr="00C000B2">
        <w:t xml:space="preserve">Te Hiringa Hauora | Health Promotion Agency. </w:t>
      </w:r>
      <w:proofErr w:type="spellStart"/>
      <w:r w:rsidRPr="00C000B2">
        <w:t>nd</w:t>
      </w:r>
      <w:proofErr w:type="spellEnd"/>
      <w:r w:rsidRPr="00C000B2">
        <w:t xml:space="preserve">. </w:t>
      </w:r>
      <w:r w:rsidRPr="00376431">
        <w:rPr>
          <w:i/>
        </w:rPr>
        <w:t xml:space="preserve">Be </w:t>
      </w:r>
      <w:proofErr w:type="spellStart"/>
      <w:r w:rsidRPr="00376431">
        <w:rPr>
          <w:i/>
        </w:rPr>
        <w:t>Sunsmart</w:t>
      </w:r>
      <w:proofErr w:type="spellEnd"/>
      <w:r w:rsidRPr="00C000B2">
        <w:t xml:space="preserve">. URL: </w:t>
      </w:r>
      <w:r w:rsidRPr="00376431">
        <w:rPr>
          <w:rStyle w:val="Hyperlink"/>
        </w:rPr>
        <w:t>http</w:t>
      </w:r>
      <w:hyperlink r:id="rId177">
        <w:r w:rsidRPr="00376431">
          <w:rPr>
            <w:rStyle w:val="Hyperlink"/>
          </w:rPr>
          <w:t>s://w</w:t>
        </w:r>
      </w:hyperlink>
      <w:r w:rsidRPr="00376431">
        <w:rPr>
          <w:rStyle w:val="Hyperlink"/>
        </w:rPr>
        <w:t>ww</w:t>
      </w:r>
      <w:hyperlink r:id="rId178">
        <w:r w:rsidRPr="00376431">
          <w:rPr>
            <w:rStyle w:val="Hyperlink"/>
          </w:rPr>
          <w:t>.sunsmart.org.nz</w:t>
        </w:r>
      </w:hyperlink>
      <w:r w:rsidR="00376431">
        <w:t xml:space="preserve"> (</w:t>
      </w:r>
      <w:r w:rsidRPr="00C000B2">
        <w:t>accessed 30 October 2021).</w:t>
      </w:r>
    </w:p>
    <w:p w14:paraId="5C628747" w14:textId="77777777" w:rsidR="00EF27EC" w:rsidRPr="00C000B2" w:rsidRDefault="00EF27EC" w:rsidP="00043D21">
      <w:pPr>
        <w:pStyle w:val="References"/>
      </w:pPr>
      <w:r w:rsidRPr="00C000B2">
        <w:t xml:space="preserve">Te Hiringa Hauora | Health Promotion Agency. </w:t>
      </w:r>
      <w:proofErr w:type="spellStart"/>
      <w:r w:rsidRPr="00C000B2">
        <w:t>nd</w:t>
      </w:r>
      <w:proofErr w:type="spellEnd"/>
      <w:r w:rsidRPr="00C000B2">
        <w:t xml:space="preserve">. </w:t>
      </w:r>
      <w:r w:rsidRPr="00C000B2">
        <w:rPr>
          <w:i/>
        </w:rPr>
        <w:t>Kupe Data Explorer. Health and Lifestyle Survey. Sun exposure – sunburn</w:t>
      </w:r>
      <w:r w:rsidRPr="00C000B2">
        <w:t xml:space="preserve">. Te Hiringa Hauora | Health Promotion Agency. URL: </w:t>
      </w:r>
      <w:hyperlink r:id="rId179" w:anchor="!/sun-exposure/sunburn" w:history="1">
        <w:r w:rsidR="00376431" w:rsidRPr="00376431">
          <w:rPr>
            <w:rStyle w:val="Hyperlink"/>
          </w:rPr>
          <w:t>https://kupe.hpa.org.nz/#!/sun-exposure/sunburn</w:t>
        </w:r>
      </w:hyperlink>
      <w:r w:rsidRPr="00C000B2">
        <w:t xml:space="preserve"> (accessed 30</w:t>
      </w:r>
      <w:r w:rsidR="00376431">
        <w:t> </w:t>
      </w:r>
      <w:r w:rsidRPr="00C000B2">
        <w:t>October 2021).</w:t>
      </w:r>
    </w:p>
    <w:p w14:paraId="4AECA52E" w14:textId="77777777" w:rsidR="00EF27EC" w:rsidRPr="00C000B2" w:rsidRDefault="00EF27EC" w:rsidP="00376431">
      <w:pPr>
        <w:pStyle w:val="References"/>
        <w:keepNext/>
        <w:keepLines/>
      </w:pPr>
      <w:proofErr w:type="spellStart"/>
      <w:r w:rsidRPr="00C000B2">
        <w:lastRenderedPageBreak/>
        <w:t>Trowland</w:t>
      </w:r>
      <w:proofErr w:type="spellEnd"/>
      <w:r w:rsidRPr="00C000B2">
        <w:t xml:space="preserve"> H, </w:t>
      </w:r>
      <w:proofErr w:type="spellStart"/>
      <w:r w:rsidRPr="00C000B2">
        <w:t>Thimasarn</w:t>
      </w:r>
      <w:proofErr w:type="spellEnd"/>
      <w:r w:rsidRPr="00C000B2">
        <w:t xml:space="preserve">-Anwar T, Dallas S, et al. 2016. </w:t>
      </w:r>
      <w:r w:rsidRPr="00C000B2">
        <w:rPr>
          <w:i/>
        </w:rPr>
        <w:t xml:space="preserve">Sun Exposure Survey 2016: Adult </w:t>
      </w:r>
      <w:proofErr w:type="spellStart"/>
      <w:r w:rsidRPr="00C000B2">
        <w:rPr>
          <w:i/>
        </w:rPr>
        <w:t>Topline</w:t>
      </w:r>
      <w:proofErr w:type="spellEnd"/>
      <w:r w:rsidRPr="00C000B2">
        <w:rPr>
          <w:i/>
        </w:rPr>
        <w:t xml:space="preserve"> Time Series Report. </w:t>
      </w:r>
      <w:r w:rsidRPr="00C000B2">
        <w:t>Wellington: Research and Evaluation Unit, Te</w:t>
      </w:r>
      <w:r w:rsidR="00376431">
        <w:t> </w:t>
      </w:r>
      <w:r w:rsidRPr="00C000B2">
        <w:t>Hiringa Hauora | Health Promotion Agency.</w:t>
      </w:r>
    </w:p>
    <w:p w14:paraId="7389AF3F" w14:textId="77777777" w:rsidR="00EF27EC" w:rsidRPr="00C000B2" w:rsidRDefault="00EF27EC" w:rsidP="00043D21">
      <w:pPr>
        <w:pStyle w:val="References"/>
      </w:pPr>
      <w:r w:rsidRPr="00C000B2">
        <w:t xml:space="preserve">Kingstone S, Nicolson M. 2020. </w:t>
      </w:r>
      <w:proofErr w:type="spellStart"/>
      <w:r w:rsidRPr="00376431">
        <w:rPr>
          <w:i/>
        </w:rPr>
        <w:t>Sunsmart</w:t>
      </w:r>
      <w:proofErr w:type="spellEnd"/>
      <w:r w:rsidRPr="00376431">
        <w:rPr>
          <w:i/>
        </w:rPr>
        <w:t xml:space="preserve"> Behaviours – Outdoor socialisers</w:t>
      </w:r>
      <w:r w:rsidRPr="00C000B2">
        <w:t>. Wellington: Te Hiringa Hauora</w:t>
      </w:r>
      <w:r w:rsidR="00376431">
        <w:t xml:space="preserve"> </w:t>
      </w:r>
      <w:r w:rsidRPr="00C000B2">
        <w:t xml:space="preserve">| Health Promotion Agency. URL: </w:t>
      </w:r>
      <w:hyperlink r:id="rId180" w:history="1">
        <w:r w:rsidR="00376431" w:rsidRPr="00376431">
          <w:rPr>
            <w:rStyle w:val="Hyperlink"/>
          </w:rPr>
          <w:t>https://www.hpa.org.nz/sites/default/files/Outdoor%20Socialisers%20SunSmart%20Behaviours.pdf</w:t>
        </w:r>
      </w:hyperlink>
      <w:r w:rsidRPr="00C000B2">
        <w:t xml:space="preserve"> (accessed 29 October 2021).</w:t>
      </w:r>
    </w:p>
    <w:p w14:paraId="0415066A" w14:textId="77777777" w:rsidR="00EF27EC" w:rsidRPr="00C000B2" w:rsidRDefault="00EF27EC" w:rsidP="00043D21">
      <w:pPr>
        <w:pStyle w:val="References"/>
      </w:pPr>
      <w:r w:rsidRPr="00C000B2">
        <w:t xml:space="preserve">Te Hiringa Hauora | Health Promotion Agency. </w:t>
      </w:r>
      <w:proofErr w:type="spellStart"/>
      <w:r w:rsidRPr="00C000B2">
        <w:t>nd</w:t>
      </w:r>
      <w:proofErr w:type="spellEnd"/>
      <w:r w:rsidRPr="00C000B2">
        <w:t xml:space="preserve">. </w:t>
      </w:r>
      <w:r w:rsidRPr="00C000B2">
        <w:rPr>
          <w:i/>
        </w:rPr>
        <w:t xml:space="preserve">Kupe Data Explorer. Health and Lifestyle Survey. Sun exposure </w:t>
      </w:r>
      <w:r w:rsidR="00376431">
        <w:rPr>
          <w:i/>
        </w:rPr>
        <w:t>–</w:t>
      </w:r>
      <w:r w:rsidRPr="00C000B2">
        <w:rPr>
          <w:i/>
        </w:rPr>
        <w:t xml:space="preserve"> Sun protective behaviours (and skin checks)</w:t>
      </w:r>
      <w:r w:rsidRPr="00C000B2">
        <w:t>. Te</w:t>
      </w:r>
      <w:r w:rsidR="00376431">
        <w:t> </w:t>
      </w:r>
      <w:r w:rsidRPr="00C000B2">
        <w:t xml:space="preserve">Hiringa Hauora | Health Promotion Agency. URL: </w:t>
      </w:r>
      <w:hyperlink r:id="rId181" w:anchor="!/sun-exposure/sun-protective-behaviours-and-skin-checks" w:history="1">
        <w:r w:rsidR="00376431" w:rsidRPr="00376431">
          <w:rPr>
            <w:rStyle w:val="Hyperlink"/>
          </w:rPr>
          <w:t>https://kupe.hpa.org.nz/#!/sun-exposure/sun-protective-behaviours-and-skin-checks</w:t>
        </w:r>
      </w:hyperlink>
      <w:r w:rsidRPr="00C000B2">
        <w:t xml:space="preserve"> (accessed 30 October 2021).</w:t>
      </w:r>
    </w:p>
    <w:p w14:paraId="35A3D42B" w14:textId="77777777" w:rsidR="00EF27EC" w:rsidRPr="00C000B2" w:rsidRDefault="00EF27EC" w:rsidP="00043D21">
      <w:pPr>
        <w:pStyle w:val="References"/>
      </w:pPr>
      <w:r w:rsidRPr="00C000B2">
        <w:t xml:space="preserve">Cancer Society. 2021. </w:t>
      </w:r>
      <w:proofErr w:type="spellStart"/>
      <w:r w:rsidRPr="00376431">
        <w:rPr>
          <w:i/>
        </w:rPr>
        <w:t>Sunsmart</w:t>
      </w:r>
      <w:proofErr w:type="spellEnd"/>
      <w:r w:rsidRPr="00C000B2">
        <w:t xml:space="preserve">. URL: </w:t>
      </w:r>
      <w:hyperlink r:id="rId182" w:history="1">
        <w:r w:rsidR="00376431" w:rsidRPr="00376431">
          <w:rPr>
            <w:rStyle w:val="Hyperlink"/>
          </w:rPr>
          <w:t>https://www.cancer.org.nz/cancer/reducing-your-cancer-risk/sunsmart/</w:t>
        </w:r>
      </w:hyperlink>
      <w:r w:rsidRPr="00C000B2">
        <w:t xml:space="preserve"> (accessed 21 December 2021).</w:t>
      </w:r>
    </w:p>
    <w:p w14:paraId="690F5048" w14:textId="77777777" w:rsidR="00EF27EC" w:rsidRPr="00C000B2" w:rsidRDefault="00EF27EC" w:rsidP="00043D21">
      <w:pPr>
        <w:pStyle w:val="References"/>
      </w:pPr>
      <w:proofErr w:type="spellStart"/>
      <w:r w:rsidRPr="00C000B2">
        <w:t>Tabbakh</w:t>
      </w:r>
      <w:proofErr w:type="spellEnd"/>
      <w:r w:rsidRPr="00C000B2">
        <w:t xml:space="preserve"> T, Volkov A, Wakefield M, et al. 2019. Implementation of the SunSmart program and population sun protection behaviour in Melbourne, Australia: results from cross-sectional summer surveys from 1987 to 2017. </w:t>
      </w:r>
      <w:r w:rsidRPr="00C000B2">
        <w:rPr>
          <w:i/>
        </w:rPr>
        <w:t xml:space="preserve">PLOS Medicine </w:t>
      </w:r>
      <w:r w:rsidRPr="00C000B2">
        <w:t>16(10):</w:t>
      </w:r>
      <w:r w:rsidR="00376431">
        <w:t> </w:t>
      </w:r>
      <w:r w:rsidRPr="00C000B2">
        <w:t>e1002932.</w:t>
      </w:r>
    </w:p>
    <w:p w14:paraId="0B87D21F" w14:textId="77777777" w:rsidR="00EF27EC" w:rsidRPr="00C000B2" w:rsidRDefault="00EF27EC" w:rsidP="00043D21">
      <w:pPr>
        <w:pStyle w:val="References"/>
      </w:pPr>
      <w:r w:rsidRPr="00C000B2">
        <w:t xml:space="preserve">Arnold M, de Vries E, Whiteman DC, et al. 2018. Global burden of cutaneous melanoma attributable to ultraviolet radiation in 2012. </w:t>
      </w:r>
      <w:r w:rsidRPr="00C000B2">
        <w:rPr>
          <w:i/>
        </w:rPr>
        <w:t xml:space="preserve">International Journal of Cancer </w:t>
      </w:r>
      <w:r w:rsidRPr="00C000B2">
        <w:t>143(6)</w:t>
      </w:r>
      <w:r w:rsidR="00376431">
        <w:t>:</w:t>
      </w:r>
      <w:r w:rsidRPr="00C000B2">
        <w:t xml:space="preserve"> 1305–14.</w:t>
      </w:r>
    </w:p>
    <w:p w14:paraId="74949B51" w14:textId="77777777" w:rsidR="00EF27EC" w:rsidRPr="00C000B2" w:rsidRDefault="00EF27EC" w:rsidP="00043D21">
      <w:pPr>
        <w:pStyle w:val="References"/>
      </w:pPr>
      <w:r w:rsidRPr="00C000B2">
        <w:t xml:space="preserve">Parsons PG, Neale R, Wolski P, et al. 1998. The shady side of solar protection. </w:t>
      </w:r>
      <w:r w:rsidRPr="00376431">
        <w:rPr>
          <w:i/>
        </w:rPr>
        <w:t>Medical Journal of Australia</w:t>
      </w:r>
      <w:r w:rsidR="00376431">
        <w:t xml:space="preserve"> </w:t>
      </w:r>
      <w:r w:rsidRPr="00C000B2">
        <w:t>168(7): 327–30.</w:t>
      </w:r>
    </w:p>
    <w:p w14:paraId="04176B24" w14:textId="77777777" w:rsidR="00EF27EC" w:rsidRPr="00C000B2" w:rsidRDefault="00EF27EC" w:rsidP="00043D21">
      <w:pPr>
        <w:pStyle w:val="References"/>
      </w:pPr>
      <w:r w:rsidRPr="00C000B2">
        <w:t xml:space="preserve">Australian Radiation Protection and Nuclear Safety Agency. </w:t>
      </w:r>
      <w:proofErr w:type="spellStart"/>
      <w:r w:rsidRPr="00C000B2">
        <w:t>nd</w:t>
      </w:r>
      <w:proofErr w:type="spellEnd"/>
      <w:r w:rsidRPr="00C000B2">
        <w:t xml:space="preserve">. </w:t>
      </w:r>
      <w:r w:rsidRPr="00376431">
        <w:rPr>
          <w:i/>
        </w:rPr>
        <w:t xml:space="preserve">Sun </w:t>
      </w:r>
      <w:r w:rsidR="00376431">
        <w:rPr>
          <w:i/>
        </w:rPr>
        <w:t>P</w:t>
      </w:r>
      <w:r w:rsidRPr="00376431">
        <w:rPr>
          <w:i/>
        </w:rPr>
        <w:t xml:space="preserve">rotection </w:t>
      </w:r>
      <w:r w:rsidR="00376431">
        <w:rPr>
          <w:i/>
        </w:rPr>
        <w:t>U</w:t>
      </w:r>
      <w:r w:rsidRPr="00376431">
        <w:rPr>
          <w:i/>
        </w:rPr>
        <w:t xml:space="preserve">sing </w:t>
      </w:r>
      <w:r w:rsidR="00376431">
        <w:rPr>
          <w:i/>
        </w:rPr>
        <w:t>S</w:t>
      </w:r>
      <w:r w:rsidRPr="00376431">
        <w:rPr>
          <w:i/>
        </w:rPr>
        <w:t>hade</w:t>
      </w:r>
      <w:r w:rsidRPr="00C000B2">
        <w:t xml:space="preserve">. URL: </w:t>
      </w:r>
      <w:hyperlink r:id="rId183" w:history="1">
        <w:r w:rsidR="00376431" w:rsidRPr="00376431">
          <w:rPr>
            <w:rStyle w:val="Hyperlink"/>
          </w:rPr>
          <w:t>https://www.arpansa.gov.au/understanding-radiation/radiation-sources/more-radiation-sources/sun-protection-shade</w:t>
        </w:r>
      </w:hyperlink>
      <w:r w:rsidRPr="00C000B2">
        <w:t xml:space="preserve"> (accessed 27 October 2021).</w:t>
      </w:r>
    </w:p>
    <w:p w14:paraId="1175E92C" w14:textId="77777777" w:rsidR="00EF27EC" w:rsidRPr="00C000B2" w:rsidRDefault="00EF27EC" w:rsidP="00043D21">
      <w:pPr>
        <w:pStyle w:val="References"/>
      </w:pPr>
      <w:r w:rsidRPr="00C000B2">
        <w:t xml:space="preserve">Holman DM, </w:t>
      </w:r>
      <w:proofErr w:type="spellStart"/>
      <w:r w:rsidRPr="00C000B2">
        <w:t>Kapelos</w:t>
      </w:r>
      <w:proofErr w:type="spellEnd"/>
      <w:r w:rsidRPr="00C000B2">
        <w:t xml:space="preserve"> GT, Shoemaker M, et al. 2018. Shade as an environmental design tool for skin cancer prevention. </w:t>
      </w:r>
      <w:r w:rsidRPr="00C000B2">
        <w:rPr>
          <w:i/>
        </w:rPr>
        <w:t xml:space="preserve">American Journal of Public Health </w:t>
      </w:r>
      <w:r w:rsidRPr="00C000B2">
        <w:t>108(12):</w:t>
      </w:r>
      <w:r w:rsidR="00376431">
        <w:t> </w:t>
      </w:r>
      <w:r w:rsidRPr="00C000B2">
        <w:t>1607–12.</w:t>
      </w:r>
    </w:p>
    <w:p w14:paraId="737EED16" w14:textId="77777777" w:rsidR="00EF27EC" w:rsidRPr="00C000B2" w:rsidRDefault="00EF27EC" w:rsidP="00043D21">
      <w:pPr>
        <w:pStyle w:val="References"/>
      </w:pPr>
      <w:r w:rsidRPr="00C000B2">
        <w:t xml:space="preserve">Gage R, Barr M, Stanley J, et al. 2018a. Sun protection and shade availability in New Zealand’s outdoor recreation spaces. </w:t>
      </w:r>
      <w:r w:rsidRPr="00C000B2">
        <w:rPr>
          <w:i/>
        </w:rPr>
        <w:t xml:space="preserve">New Zealand Medical Journal </w:t>
      </w:r>
      <w:r w:rsidRPr="00C000B2">
        <w:t>131: 30–7.</w:t>
      </w:r>
    </w:p>
    <w:p w14:paraId="675A565B" w14:textId="77777777" w:rsidR="00EF27EC" w:rsidRPr="00C000B2" w:rsidRDefault="00EF27EC" w:rsidP="00043D21">
      <w:pPr>
        <w:pStyle w:val="References"/>
      </w:pPr>
      <w:r w:rsidRPr="00C000B2">
        <w:t xml:space="preserve">Gage R, Wilson N, Signal L, et al. 2019. Shade in playgrounds: findings from a nationwide survey and implications for urban health policy. </w:t>
      </w:r>
      <w:r w:rsidRPr="00C000B2">
        <w:rPr>
          <w:i/>
        </w:rPr>
        <w:t xml:space="preserve">Journal of Public Health </w:t>
      </w:r>
      <w:r w:rsidRPr="00C000B2">
        <w:t>27(5): 669–74.</w:t>
      </w:r>
    </w:p>
    <w:p w14:paraId="0FAFDA85" w14:textId="77777777" w:rsidR="00EF27EC" w:rsidRPr="00C000B2" w:rsidRDefault="00EF27EC" w:rsidP="00043D21">
      <w:pPr>
        <w:pStyle w:val="References"/>
      </w:pPr>
      <w:proofErr w:type="spellStart"/>
      <w:r w:rsidRPr="00C000B2">
        <w:t>Dobbinson</w:t>
      </w:r>
      <w:proofErr w:type="spellEnd"/>
      <w:r w:rsidRPr="00C000B2">
        <w:t xml:space="preserve"> SJ, Simmons J, Chamberlain JA, et al. 2020. Examining health-related effects of refurbishment to parks in a lower socioeconomic area: the </w:t>
      </w:r>
      <w:proofErr w:type="spellStart"/>
      <w:r w:rsidRPr="00C000B2">
        <w:t>ShadePlus</w:t>
      </w:r>
      <w:proofErr w:type="spellEnd"/>
      <w:r w:rsidRPr="00C000B2">
        <w:t xml:space="preserve"> natural experiment. </w:t>
      </w:r>
      <w:r w:rsidRPr="00C000B2">
        <w:rPr>
          <w:i/>
        </w:rPr>
        <w:t xml:space="preserve">International Journal of Environmental Research and Public Health </w:t>
      </w:r>
      <w:r w:rsidRPr="00C000B2">
        <w:t>17(17): 6102.</w:t>
      </w:r>
    </w:p>
    <w:p w14:paraId="685EE4A6" w14:textId="77777777" w:rsidR="00EF27EC" w:rsidRPr="00C000B2" w:rsidRDefault="00EF27EC" w:rsidP="00043D21">
      <w:pPr>
        <w:pStyle w:val="References"/>
      </w:pPr>
      <w:proofErr w:type="spellStart"/>
      <w:r w:rsidRPr="00C000B2">
        <w:t>Dobbinson</w:t>
      </w:r>
      <w:proofErr w:type="spellEnd"/>
      <w:r w:rsidRPr="00C000B2">
        <w:t xml:space="preserve"> SJ, White V, Wakefield MA, et al. 2009. Adolescents’ use of </w:t>
      </w:r>
      <w:proofErr w:type="gramStart"/>
      <w:r w:rsidRPr="00C000B2">
        <w:t>purpose built</w:t>
      </w:r>
      <w:proofErr w:type="gramEnd"/>
      <w:r w:rsidRPr="00C000B2">
        <w:t xml:space="preserve"> shade in secondary schools: cluster randomised controlled trial. </w:t>
      </w:r>
      <w:r w:rsidRPr="00C000B2">
        <w:rPr>
          <w:i/>
        </w:rPr>
        <w:t xml:space="preserve">BMJ </w:t>
      </w:r>
      <w:r w:rsidRPr="00C000B2">
        <w:t>338:</w:t>
      </w:r>
      <w:r w:rsidR="00376431">
        <w:t xml:space="preserve"> </w:t>
      </w:r>
      <w:r w:rsidRPr="00C000B2">
        <w:t>695.</w:t>
      </w:r>
    </w:p>
    <w:p w14:paraId="1B76A752" w14:textId="77777777" w:rsidR="00EF27EC" w:rsidRPr="00C000B2" w:rsidRDefault="00EF27EC" w:rsidP="00376431">
      <w:pPr>
        <w:pStyle w:val="References"/>
        <w:keepNext/>
        <w:keepLines/>
      </w:pPr>
      <w:r w:rsidRPr="00C000B2">
        <w:lastRenderedPageBreak/>
        <w:t xml:space="preserve">Buller DB, English DR, Buller MK, et al. 2017. Shade sails and passive recreation in public parks of Melbourne and Denver: a randomized intervention. </w:t>
      </w:r>
      <w:r w:rsidRPr="00C000B2">
        <w:rPr>
          <w:i/>
        </w:rPr>
        <w:t xml:space="preserve">American Journal of Public Health </w:t>
      </w:r>
      <w:r w:rsidRPr="00C000B2">
        <w:t>107(12): 1869–75.</w:t>
      </w:r>
    </w:p>
    <w:p w14:paraId="31FDC7A9" w14:textId="77777777" w:rsidR="00EF27EC" w:rsidRPr="00C000B2" w:rsidRDefault="00376431" w:rsidP="00043D21">
      <w:pPr>
        <w:pStyle w:val="References"/>
      </w:pPr>
      <w:r>
        <w:t xml:space="preserve">SunSmart. </w:t>
      </w:r>
      <w:proofErr w:type="spellStart"/>
      <w:r>
        <w:t>nd</w:t>
      </w:r>
      <w:proofErr w:type="spellEnd"/>
      <w:r>
        <w:t xml:space="preserve">. </w:t>
      </w:r>
      <w:r w:rsidRPr="00376431">
        <w:rPr>
          <w:i/>
        </w:rPr>
        <w:t>Local G</w:t>
      </w:r>
      <w:r w:rsidR="00EF27EC" w:rsidRPr="00376431">
        <w:rPr>
          <w:i/>
        </w:rPr>
        <w:t>overnment</w:t>
      </w:r>
      <w:r w:rsidR="00EF27EC" w:rsidRPr="00C000B2">
        <w:t xml:space="preserve">. URL: </w:t>
      </w:r>
      <w:r w:rsidR="00EF27EC" w:rsidRPr="00376431">
        <w:rPr>
          <w:rStyle w:val="Hyperlink"/>
        </w:rPr>
        <w:t>https://</w:t>
      </w:r>
      <w:hyperlink r:id="rId184">
        <w:r w:rsidR="00EF27EC" w:rsidRPr="00376431">
          <w:rPr>
            <w:rStyle w:val="Hyperlink"/>
          </w:rPr>
          <w:t>www.sunsmart.com.au/advice-for/local-government</w:t>
        </w:r>
      </w:hyperlink>
      <w:r w:rsidR="00EF27EC" w:rsidRPr="00C000B2">
        <w:t xml:space="preserve"> (accessed 28 October 2021).</w:t>
      </w:r>
    </w:p>
    <w:p w14:paraId="6FE1742F" w14:textId="77777777" w:rsidR="00EF27EC" w:rsidRPr="00C000B2" w:rsidRDefault="00EF27EC" w:rsidP="00043D21">
      <w:pPr>
        <w:pStyle w:val="References"/>
      </w:pPr>
      <w:r w:rsidRPr="00C000B2">
        <w:t xml:space="preserve">Victoria State Government. 2021. Shade Grants Program. URL: </w:t>
      </w:r>
      <w:hyperlink r:id="rId185" w:history="1">
        <w:r w:rsidR="00376431" w:rsidRPr="00376431">
          <w:rPr>
            <w:rStyle w:val="Hyperlink"/>
          </w:rPr>
          <w:t>https://www.health.vic.gov.au/preventive-health/shade-grants-program</w:t>
        </w:r>
      </w:hyperlink>
      <w:r w:rsidRPr="00C000B2">
        <w:t xml:space="preserve"> (accessed 30 October 2021).</w:t>
      </w:r>
    </w:p>
    <w:p w14:paraId="37332E74" w14:textId="77777777" w:rsidR="00EF27EC" w:rsidRPr="00C000B2" w:rsidRDefault="00EF27EC" w:rsidP="00043D21">
      <w:pPr>
        <w:pStyle w:val="References"/>
      </w:pPr>
      <w:r w:rsidRPr="00C000B2">
        <w:t xml:space="preserve">Dallas S, Kruse K. 2015. Public opinion on councils’ role to provide shade in public places. </w:t>
      </w:r>
      <w:r w:rsidRPr="00C000B2">
        <w:rPr>
          <w:i/>
        </w:rPr>
        <w:t xml:space="preserve">In Fact: Research facts from the HPA </w:t>
      </w:r>
      <w:r w:rsidRPr="00C000B2">
        <w:t xml:space="preserve">4(3). Wellington: Te Hiringa Hauora | Health Promotion Agency. URL: </w:t>
      </w:r>
      <w:hyperlink r:id="rId186" w:history="1">
        <w:r w:rsidR="00376431" w:rsidRPr="00376431">
          <w:rPr>
            <w:rStyle w:val="Hyperlink"/>
          </w:rPr>
          <w:t>https://www.hpa.org.nz/research-library/research-publications/public-opinion-on-councils%E2%80%99-role-to-provide-shade-in-public-places-in-fact</w:t>
        </w:r>
      </w:hyperlink>
      <w:r w:rsidRPr="00C000B2">
        <w:t xml:space="preserve"> (accessed 29 October 2021).</w:t>
      </w:r>
    </w:p>
    <w:p w14:paraId="4189E9E3" w14:textId="77777777" w:rsidR="00EF27EC" w:rsidRPr="00C000B2" w:rsidRDefault="00EF27EC" w:rsidP="00043D21">
      <w:pPr>
        <w:pStyle w:val="References"/>
      </w:pPr>
      <w:r w:rsidRPr="00C000B2">
        <w:t xml:space="preserve">Napier City Council. 2016. </w:t>
      </w:r>
      <w:r w:rsidRPr="00376431">
        <w:rPr>
          <w:i/>
        </w:rPr>
        <w:t>Shade Policy</w:t>
      </w:r>
      <w:r w:rsidRPr="00C000B2">
        <w:rPr>
          <w:i/>
        </w:rPr>
        <w:t xml:space="preserve">. </w:t>
      </w:r>
      <w:r w:rsidRPr="00C000B2">
        <w:t xml:space="preserve">Napier City Council. URL: </w:t>
      </w:r>
      <w:hyperlink r:id="rId187" w:history="1">
        <w:r w:rsidR="00376431" w:rsidRPr="00376431">
          <w:rPr>
            <w:rStyle w:val="Hyperlink"/>
          </w:rPr>
          <w:t>https://www.napier.govt.nz/assets/Document-Library/Policies/Shade-Policy.pdf</w:t>
        </w:r>
      </w:hyperlink>
      <w:r w:rsidRPr="00C000B2">
        <w:t xml:space="preserve"> (accessed 28 October 2021).</w:t>
      </w:r>
    </w:p>
    <w:p w14:paraId="62DE89D2" w14:textId="77777777" w:rsidR="00EF27EC" w:rsidRPr="00C000B2" w:rsidRDefault="00EF27EC" w:rsidP="00043D21">
      <w:pPr>
        <w:pStyle w:val="References"/>
      </w:pPr>
      <w:r w:rsidRPr="00C000B2">
        <w:t xml:space="preserve">Palmerston North City Council. 2010. </w:t>
      </w:r>
      <w:r w:rsidRPr="00376431">
        <w:rPr>
          <w:i/>
        </w:rPr>
        <w:t>Sun Protection Policy</w:t>
      </w:r>
      <w:r w:rsidRPr="00C000B2">
        <w:rPr>
          <w:i/>
        </w:rPr>
        <w:t xml:space="preserve">. </w:t>
      </w:r>
      <w:r w:rsidRPr="00C000B2">
        <w:t xml:space="preserve">Palmerston North City Council. URL: </w:t>
      </w:r>
      <w:r w:rsidRPr="00376431">
        <w:rPr>
          <w:rStyle w:val="Hyperlink"/>
        </w:rPr>
        <w:t>https://</w:t>
      </w:r>
      <w:hyperlink r:id="rId188">
        <w:r w:rsidRPr="00376431">
          <w:rPr>
            <w:rStyle w:val="Hyperlink"/>
          </w:rPr>
          <w:t xml:space="preserve">www.pncc.govt.nz/media/3131377/sun_protection_policy_2010.pdf </w:t>
        </w:r>
      </w:hyperlink>
      <w:r w:rsidRPr="00C000B2">
        <w:t>(accessed 28 October 2021).</w:t>
      </w:r>
    </w:p>
    <w:p w14:paraId="0E5A2DC3" w14:textId="77777777" w:rsidR="00EF27EC" w:rsidRPr="00C000B2" w:rsidRDefault="00EF27EC" w:rsidP="00043D21">
      <w:pPr>
        <w:pStyle w:val="References"/>
      </w:pPr>
      <w:r w:rsidRPr="00C000B2">
        <w:t xml:space="preserve">Te Hiringa Hauora | Health Promotion Agency. </w:t>
      </w:r>
      <w:proofErr w:type="spellStart"/>
      <w:r w:rsidRPr="00C000B2">
        <w:t>nd</w:t>
      </w:r>
      <w:proofErr w:type="spellEnd"/>
      <w:r w:rsidRPr="00C000B2">
        <w:t xml:space="preserve">. </w:t>
      </w:r>
      <w:r w:rsidRPr="00376431">
        <w:rPr>
          <w:i/>
        </w:rPr>
        <w:t xml:space="preserve">SunSmart </w:t>
      </w:r>
      <w:r w:rsidR="00376431" w:rsidRPr="00376431">
        <w:rPr>
          <w:i/>
        </w:rPr>
        <w:t>C</w:t>
      </w:r>
      <w:r w:rsidRPr="00376431">
        <w:rPr>
          <w:i/>
        </w:rPr>
        <w:t xml:space="preserve">ouncils and </w:t>
      </w:r>
      <w:r w:rsidR="00376431" w:rsidRPr="00376431">
        <w:rPr>
          <w:i/>
        </w:rPr>
        <w:t>W</w:t>
      </w:r>
      <w:r w:rsidRPr="00376431">
        <w:rPr>
          <w:i/>
        </w:rPr>
        <w:t>orkplaces</w:t>
      </w:r>
      <w:r w:rsidRPr="00C000B2">
        <w:t xml:space="preserve">. URL: </w:t>
      </w:r>
      <w:hyperlink r:id="rId189" w:history="1">
        <w:r w:rsidR="00376431" w:rsidRPr="00376431">
          <w:rPr>
            <w:rStyle w:val="Hyperlink"/>
          </w:rPr>
          <w:t>https://www.sunsmart.org.nz/learn-more/sunsmart-councils-and-workplaces</w:t>
        </w:r>
      </w:hyperlink>
      <w:r w:rsidRPr="00C000B2">
        <w:t xml:space="preserve"> (accessed 21 July 2021).</w:t>
      </w:r>
    </w:p>
    <w:p w14:paraId="349A379B" w14:textId="77777777" w:rsidR="00EF27EC" w:rsidRPr="00C000B2" w:rsidRDefault="00EF27EC" w:rsidP="00043D21">
      <w:pPr>
        <w:pStyle w:val="References"/>
      </w:pPr>
      <w:r w:rsidRPr="00C000B2">
        <w:t xml:space="preserve">Greenwood JS, </w:t>
      </w:r>
      <w:proofErr w:type="spellStart"/>
      <w:r w:rsidRPr="00C000B2">
        <w:t>Soulos</w:t>
      </w:r>
      <w:proofErr w:type="spellEnd"/>
      <w:r w:rsidRPr="00C000B2">
        <w:t xml:space="preserve"> GP, Thomas ND. 2000. </w:t>
      </w:r>
      <w:r w:rsidRPr="00C000B2">
        <w:rPr>
          <w:i/>
        </w:rPr>
        <w:t xml:space="preserve">Under Cover: Guidelines for shade planning and design. </w:t>
      </w:r>
      <w:r w:rsidRPr="00C000B2">
        <w:t xml:space="preserve">NSW Cancer Council and NSW Health Department Sydney, 1998. Adapted for New Zealand use by the Cancer Society of New Zealand. URL: </w:t>
      </w:r>
      <w:hyperlink r:id="rId190" w:history="1">
        <w:r w:rsidR="00376431" w:rsidRPr="00376431">
          <w:rPr>
            <w:rStyle w:val="Hyperlink"/>
          </w:rPr>
          <w:t>https://www.cancer.org.nz/cancer/reducing-your-cancer-risk/sunsmart/sunsmart-communities-schools-and-workplaces/</w:t>
        </w:r>
      </w:hyperlink>
      <w:r w:rsidRPr="00C000B2">
        <w:t xml:space="preserve"> (accessed 28</w:t>
      </w:r>
      <w:r w:rsidR="00376431">
        <w:t> </w:t>
      </w:r>
      <w:r w:rsidRPr="00C000B2">
        <w:t>October 2021).</w:t>
      </w:r>
    </w:p>
    <w:p w14:paraId="1B53FDC4" w14:textId="77777777" w:rsidR="00EF27EC" w:rsidRPr="00C000B2" w:rsidRDefault="00EF27EC" w:rsidP="00043D21">
      <w:pPr>
        <w:pStyle w:val="References"/>
      </w:pPr>
      <w:proofErr w:type="spellStart"/>
      <w:r w:rsidRPr="00C000B2">
        <w:t>Ettridge</w:t>
      </w:r>
      <w:proofErr w:type="spellEnd"/>
      <w:r w:rsidRPr="00C000B2">
        <w:t xml:space="preserve"> KA, Bowden JA, Rayner JM, et al. 2011. The relationship between sun protection policy and associated practices in a national sample of early childhood services in Australia. </w:t>
      </w:r>
      <w:r w:rsidRPr="00C000B2">
        <w:rPr>
          <w:i/>
        </w:rPr>
        <w:t xml:space="preserve">Health Education Research </w:t>
      </w:r>
      <w:r w:rsidRPr="00C000B2">
        <w:t>26(1): 53–62.</w:t>
      </w:r>
    </w:p>
    <w:p w14:paraId="003B147C" w14:textId="77777777" w:rsidR="00EF27EC" w:rsidRPr="00C000B2" w:rsidRDefault="00EF27EC" w:rsidP="00043D21">
      <w:pPr>
        <w:pStyle w:val="References"/>
      </w:pPr>
      <w:proofErr w:type="spellStart"/>
      <w:r w:rsidRPr="00C000B2">
        <w:t>McNoe</w:t>
      </w:r>
      <w:proofErr w:type="spellEnd"/>
      <w:r w:rsidRPr="00C000B2">
        <w:t xml:space="preserve"> BM, Reeder AI. 2019. Sun protection policies and practices in New Zealand primary schools. </w:t>
      </w:r>
      <w:r w:rsidRPr="00C000B2">
        <w:rPr>
          <w:i/>
        </w:rPr>
        <w:t xml:space="preserve">New Zealand Medical Journal </w:t>
      </w:r>
      <w:r w:rsidRPr="00C000B2">
        <w:t>132(1497): 46–54.</w:t>
      </w:r>
    </w:p>
    <w:p w14:paraId="758D8913" w14:textId="77777777" w:rsidR="00EF27EC" w:rsidRPr="00C000B2" w:rsidRDefault="00EF27EC" w:rsidP="00043D21">
      <w:pPr>
        <w:pStyle w:val="References"/>
      </w:pPr>
      <w:proofErr w:type="spellStart"/>
      <w:r w:rsidRPr="00C000B2">
        <w:t>McNoe</w:t>
      </w:r>
      <w:proofErr w:type="spellEnd"/>
      <w:r w:rsidRPr="00C000B2">
        <w:t xml:space="preserve"> BM, Reeder AI. 2016. Adolescent sun protection at secondary school athletic sporting events – a misnomer. </w:t>
      </w:r>
      <w:r w:rsidRPr="00C000B2">
        <w:rPr>
          <w:i/>
        </w:rPr>
        <w:t xml:space="preserve">Australian and New Zealand Journal of Public Health </w:t>
      </w:r>
      <w:r w:rsidRPr="00C000B2">
        <w:t>40(4): 313–5.</w:t>
      </w:r>
    </w:p>
    <w:p w14:paraId="51D0884D" w14:textId="77777777" w:rsidR="00EF27EC" w:rsidRPr="00C000B2" w:rsidRDefault="00EF27EC" w:rsidP="00043D21">
      <w:pPr>
        <w:pStyle w:val="References"/>
      </w:pPr>
      <w:r w:rsidRPr="00C000B2">
        <w:t xml:space="preserve">Gage R, Leung W, Stanley J, et al. 2018. Sun protection among New Zealand primary school children. </w:t>
      </w:r>
      <w:r w:rsidRPr="00C000B2">
        <w:rPr>
          <w:i/>
        </w:rPr>
        <w:t xml:space="preserve">Health Education &amp; </w:t>
      </w:r>
      <w:proofErr w:type="spellStart"/>
      <w:r w:rsidRPr="00C000B2">
        <w:rPr>
          <w:i/>
        </w:rPr>
        <w:t>Behavior</w:t>
      </w:r>
      <w:proofErr w:type="spellEnd"/>
      <w:r w:rsidRPr="00C000B2">
        <w:rPr>
          <w:i/>
        </w:rPr>
        <w:t xml:space="preserve"> </w:t>
      </w:r>
      <w:r w:rsidRPr="00C000B2">
        <w:t>45(5): 800–7.</w:t>
      </w:r>
    </w:p>
    <w:p w14:paraId="4809D780" w14:textId="77777777" w:rsidR="00EF27EC" w:rsidRPr="00C000B2" w:rsidRDefault="00EF27EC" w:rsidP="00043D21">
      <w:pPr>
        <w:pStyle w:val="References"/>
      </w:pPr>
      <w:r w:rsidRPr="00C000B2">
        <w:t xml:space="preserve">Reeder A, </w:t>
      </w:r>
      <w:proofErr w:type="spellStart"/>
      <w:r w:rsidRPr="00C000B2">
        <w:t>Jopson</w:t>
      </w:r>
      <w:proofErr w:type="spellEnd"/>
      <w:r w:rsidRPr="00C000B2">
        <w:t xml:space="preserve"> J, Gray A. 2012. Sun protection policies and practices in New Zealand primary schools.</w:t>
      </w:r>
      <w:r w:rsidR="00376431">
        <w:t xml:space="preserve"> </w:t>
      </w:r>
      <w:r w:rsidRPr="00376431">
        <w:rPr>
          <w:i/>
        </w:rPr>
        <w:t xml:space="preserve">New Zealand Medical Journal </w:t>
      </w:r>
      <w:r w:rsidRPr="00C000B2">
        <w:t>125(1349): 70–82.</w:t>
      </w:r>
    </w:p>
    <w:p w14:paraId="3C9D280F" w14:textId="77777777" w:rsidR="00EF27EC" w:rsidRPr="00C000B2" w:rsidRDefault="00EF27EC" w:rsidP="00376431">
      <w:pPr>
        <w:pStyle w:val="References"/>
        <w:keepNext/>
        <w:keepLines/>
      </w:pPr>
      <w:r w:rsidRPr="00C000B2">
        <w:lastRenderedPageBreak/>
        <w:t xml:space="preserve">Queensland Government. </w:t>
      </w:r>
      <w:proofErr w:type="spellStart"/>
      <w:r w:rsidRPr="00C000B2">
        <w:t>nd</w:t>
      </w:r>
      <w:proofErr w:type="spellEnd"/>
      <w:r w:rsidRPr="00C000B2">
        <w:t xml:space="preserve">. </w:t>
      </w:r>
      <w:r w:rsidRPr="00376431">
        <w:rPr>
          <w:i/>
        </w:rPr>
        <w:t xml:space="preserve">Sun </w:t>
      </w:r>
      <w:r w:rsidR="00376431" w:rsidRPr="00376431">
        <w:rPr>
          <w:i/>
        </w:rPr>
        <w:t>S</w:t>
      </w:r>
      <w:r w:rsidRPr="00376431">
        <w:rPr>
          <w:i/>
        </w:rPr>
        <w:t xml:space="preserve">afety in </w:t>
      </w:r>
      <w:r w:rsidR="00376431" w:rsidRPr="00376431">
        <w:rPr>
          <w:i/>
        </w:rPr>
        <w:t>S</w:t>
      </w:r>
      <w:r w:rsidRPr="00376431">
        <w:rPr>
          <w:i/>
        </w:rPr>
        <w:t xml:space="preserve">tate </w:t>
      </w:r>
      <w:r w:rsidR="00376431" w:rsidRPr="00376431">
        <w:rPr>
          <w:i/>
        </w:rPr>
        <w:t>S</w:t>
      </w:r>
      <w:r w:rsidRPr="00376431">
        <w:rPr>
          <w:i/>
        </w:rPr>
        <w:t xml:space="preserve">chools </w:t>
      </w:r>
      <w:r w:rsidR="00376431" w:rsidRPr="00376431">
        <w:rPr>
          <w:i/>
        </w:rPr>
        <w:t>P</w:t>
      </w:r>
      <w:r w:rsidRPr="00376431">
        <w:rPr>
          <w:i/>
        </w:rPr>
        <w:t>rocedure. Effective from 24 January 2022</w:t>
      </w:r>
      <w:r w:rsidRPr="00C000B2">
        <w:t xml:space="preserve">. </w:t>
      </w:r>
      <w:r w:rsidR="00376431">
        <w:t xml:space="preserve">URL: </w:t>
      </w:r>
      <w:hyperlink r:id="rId191" w:history="1">
        <w:r w:rsidR="00376431" w:rsidRPr="00376431">
          <w:rPr>
            <w:rStyle w:val="Hyperlink"/>
          </w:rPr>
          <w:t>https://ppr.qed.qld.gov.au/attachment/Sun-safety-in-state-school-procedure.pdf</w:t>
        </w:r>
      </w:hyperlink>
      <w:r w:rsidRPr="00C000B2">
        <w:t xml:space="preserve"> (accessed 29 October 2021).</w:t>
      </w:r>
    </w:p>
    <w:p w14:paraId="7416AA20" w14:textId="77777777" w:rsidR="00EF27EC" w:rsidRPr="00C000B2" w:rsidRDefault="00EF27EC" w:rsidP="00043D21">
      <w:pPr>
        <w:pStyle w:val="References"/>
      </w:pPr>
      <w:r w:rsidRPr="00C000B2">
        <w:t xml:space="preserve">Community Preventive Services Task Force. 2012. Preventing skin cancer: primary and middle school-based interventions. </w:t>
      </w:r>
      <w:r w:rsidRPr="00C000B2">
        <w:rPr>
          <w:i/>
        </w:rPr>
        <w:t xml:space="preserve">The Community Guide. </w:t>
      </w:r>
      <w:r w:rsidRPr="00C000B2">
        <w:t xml:space="preserve">URL: </w:t>
      </w:r>
      <w:hyperlink r:id="rId192" w:history="1">
        <w:r w:rsidR="00376431" w:rsidRPr="00376431">
          <w:rPr>
            <w:rStyle w:val="Hyperlink"/>
          </w:rPr>
          <w:t>https://www.thecommunityguide.org/findings/skin-cancer-primary-and-middle-school-based-interventions</w:t>
        </w:r>
      </w:hyperlink>
      <w:r w:rsidRPr="00C000B2">
        <w:t xml:space="preserve"> (accessed 28 October 2021).</w:t>
      </w:r>
    </w:p>
    <w:p w14:paraId="2489964C" w14:textId="77777777" w:rsidR="00EF27EC" w:rsidRPr="001C5526" w:rsidRDefault="00EF27EC" w:rsidP="00043D21">
      <w:pPr>
        <w:pStyle w:val="References"/>
      </w:pPr>
      <w:r w:rsidRPr="001C5526">
        <w:t xml:space="preserve">Reeder A, de Lange M, </w:t>
      </w:r>
      <w:proofErr w:type="spellStart"/>
      <w:r w:rsidRPr="001C5526">
        <w:t>McNoe</w:t>
      </w:r>
      <w:proofErr w:type="spellEnd"/>
      <w:r w:rsidRPr="001C5526">
        <w:t xml:space="preserve"> B. 2018. SunSmart schools: </w:t>
      </w:r>
      <w:proofErr w:type="gramStart"/>
      <w:r w:rsidRPr="001C5526">
        <w:t>a</w:t>
      </w:r>
      <w:proofErr w:type="gramEnd"/>
      <w:r w:rsidRPr="001C5526">
        <w:t xml:space="preserve"> New Zealand skin cancer primary prevention intervention blueprint for primary school settings. </w:t>
      </w:r>
      <w:r w:rsidRPr="001C5526">
        <w:rPr>
          <w:i/>
        </w:rPr>
        <w:t xml:space="preserve">British Journal of Dermatology </w:t>
      </w:r>
      <w:r w:rsidRPr="001C5526">
        <w:t>179(4): 963</w:t>
      </w:r>
      <w:r w:rsidR="001C5526" w:rsidRPr="001C5526">
        <w:t>–</w:t>
      </w:r>
      <w:r w:rsidRPr="001C5526">
        <w:t>4.</w:t>
      </w:r>
    </w:p>
    <w:p w14:paraId="4D57A113" w14:textId="77777777" w:rsidR="00EF27EC" w:rsidRPr="00C000B2" w:rsidRDefault="00EF27EC" w:rsidP="00043D21">
      <w:pPr>
        <w:pStyle w:val="References"/>
      </w:pPr>
      <w:proofErr w:type="spellStart"/>
      <w:r w:rsidRPr="00C000B2">
        <w:t>Gies</w:t>
      </w:r>
      <w:proofErr w:type="spellEnd"/>
      <w:r w:rsidRPr="00C000B2">
        <w:t xml:space="preserve"> P, Mackay C. 2004. Measurements of the </w:t>
      </w:r>
      <w:r w:rsidR="001C5526">
        <w:t>s</w:t>
      </w:r>
      <w:r w:rsidRPr="00C000B2">
        <w:t xml:space="preserve">olar UVR </w:t>
      </w:r>
      <w:r w:rsidR="001C5526">
        <w:t>p</w:t>
      </w:r>
      <w:r w:rsidRPr="00C000B2">
        <w:t xml:space="preserve">rotection </w:t>
      </w:r>
      <w:r w:rsidR="001C5526">
        <w:t>p</w:t>
      </w:r>
      <w:r w:rsidRPr="00C000B2">
        <w:t xml:space="preserve">rovided by </w:t>
      </w:r>
      <w:r w:rsidR="001C5526">
        <w:t>s</w:t>
      </w:r>
      <w:r w:rsidRPr="00C000B2">
        <w:t xml:space="preserve">hade </w:t>
      </w:r>
      <w:r w:rsidR="001C5526">
        <w:t>s</w:t>
      </w:r>
      <w:r w:rsidRPr="00C000B2">
        <w:t xml:space="preserve">tructures in New Zealand </w:t>
      </w:r>
      <w:r w:rsidR="001C5526">
        <w:t>p</w:t>
      </w:r>
      <w:r w:rsidRPr="00C000B2">
        <w:t xml:space="preserve">rimary </w:t>
      </w:r>
      <w:r w:rsidR="001C5526">
        <w:t>s</w:t>
      </w:r>
      <w:r w:rsidRPr="00C000B2">
        <w:t xml:space="preserve">chools. </w:t>
      </w:r>
      <w:r w:rsidRPr="00C000B2">
        <w:rPr>
          <w:i/>
        </w:rPr>
        <w:t xml:space="preserve">Photochemistry and Photobiology </w:t>
      </w:r>
      <w:r w:rsidRPr="00C000B2">
        <w:t>80: 334</w:t>
      </w:r>
      <w:r w:rsidR="001C5526">
        <w:t>–</w:t>
      </w:r>
      <w:r w:rsidRPr="00C000B2">
        <w:t>9.</w:t>
      </w:r>
    </w:p>
    <w:p w14:paraId="35CB29F9" w14:textId="77777777" w:rsidR="00EF27EC" w:rsidRPr="00C000B2" w:rsidRDefault="00EF27EC" w:rsidP="00043D21">
      <w:pPr>
        <w:pStyle w:val="References"/>
      </w:pPr>
      <w:r w:rsidRPr="00C000B2">
        <w:t xml:space="preserve">Ministry of Education. 2021. </w:t>
      </w:r>
      <w:r w:rsidRPr="001C5526">
        <w:rPr>
          <w:i/>
        </w:rPr>
        <w:t xml:space="preserve">Shade </w:t>
      </w:r>
      <w:r w:rsidR="001C5526">
        <w:rPr>
          <w:i/>
        </w:rPr>
        <w:t>S</w:t>
      </w:r>
      <w:r w:rsidRPr="001C5526">
        <w:rPr>
          <w:i/>
        </w:rPr>
        <w:t xml:space="preserve">tructures at </w:t>
      </w:r>
      <w:r w:rsidR="001C5526">
        <w:rPr>
          <w:i/>
        </w:rPr>
        <w:t>S</w:t>
      </w:r>
      <w:r w:rsidRPr="001C5526">
        <w:rPr>
          <w:i/>
        </w:rPr>
        <w:t>chools</w:t>
      </w:r>
      <w:r w:rsidRPr="00C000B2">
        <w:t xml:space="preserve">. URL: </w:t>
      </w:r>
      <w:hyperlink r:id="rId193" w:history="1">
        <w:r w:rsidR="001C5526" w:rsidRPr="001C5526">
          <w:rPr>
            <w:rStyle w:val="Hyperlink"/>
          </w:rPr>
          <w:t>https://www.education.govt.nz/school/ property-and-transport/projects-and-design/design/design-standards/shade-structures/</w:t>
        </w:r>
      </w:hyperlink>
      <w:r w:rsidRPr="00C000B2">
        <w:t xml:space="preserve"> (accessed 29 October 2021).</w:t>
      </w:r>
    </w:p>
    <w:p w14:paraId="4E1607A7" w14:textId="77777777" w:rsidR="00EF27EC" w:rsidRPr="00C000B2" w:rsidRDefault="00EF27EC" w:rsidP="00043D21">
      <w:pPr>
        <w:pStyle w:val="References"/>
      </w:pPr>
      <w:r w:rsidRPr="00C000B2">
        <w:t xml:space="preserve">Reeder A, </w:t>
      </w:r>
      <w:proofErr w:type="spellStart"/>
      <w:r w:rsidRPr="00C000B2">
        <w:t>McNoe</w:t>
      </w:r>
      <w:proofErr w:type="spellEnd"/>
      <w:r w:rsidRPr="00C000B2">
        <w:t xml:space="preserve"> B, </w:t>
      </w:r>
      <w:proofErr w:type="spellStart"/>
      <w:r w:rsidRPr="00C000B2">
        <w:t>Iosua</w:t>
      </w:r>
      <w:proofErr w:type="spellEnd"/>
      <w:r w:rsidRPr="00C000B2">
        <w:t xml:space="preserve"> E. 2016. Sun protection practices in New Zealand secondary schools: a 2014 baseline study. </w:t>
      </w:r>
      <w:r w:rsidRPr="00C000B2">
        <w:rPr>
          <w:i/>
        </w:rPr>
        <w:t xml:space="preserve">Preventive </w:t>
      </w:r>
      <w:r w:rsidR="001C5526">
        <w:rPr>
          <w:i/>
        </w:rPr>
        <w:t>M</w:t>
      </w:r>
      <w:r w:rsidRPr="00C000B2">
        <w:rPr>
          <w:i/>
        </w:rPr>
        <w:t xml:space="preserve">edicine </w:t>
      </w:r>
      <w:r w:rsidR="001C5526">
        <w:rPr>
          <w:i/>
        </w:rPr>
        <w:t>R</w:t>
      </w:r>
      <w:r w:rsidRPr="00C000B2">
        <w:rPr>
          <w:i/>
        </w:rPr>
        <w:t xml:space="preserve">eports </w:t>
      </w:r>
      <w:r w:rsidRPr="00C000B2">
        <w:t>3: 257</w:t>
      </w:r>
      <w:r w:rsidR="001C5526">
        <w:t>–</w:t>
      </w:r>
      <w:r w:rsidRPr="00C000B2">
        <w:t>63.</w:t>
      </w:r>
    </w:p>
    <w:p w14:paraId="3E307579" w14:textId="77777777" w:rsidR="00EF27EC" w:rsidRPr="00C000B2" w:rsidRDefault="00EF27EC" w:rsidP="00043D21">
      <w:pPr>
        <w:pStyle w:val="References"/>
      </w:pPr>
      <w:r w:rsidRPr="00C000B2">
        <w:t xml:space="preserve">Cancer Society of New Zealand. 2019. </w:t>
      </w:r>
      <w:r w:rsidRPr="00C000B2">
        <w:rPr>
          <w:i/>
        </w:rPr>
        <w:t>Annual Report</w:t>
      </w:r>
      <w:r w:rsidRPr="00C000B2">
        <w:t xml:space="preserve">. Wellington: Cancer Society of New Zealand. URL: </w:t>
      </w:r>
      <w:hyperlink r:id="rId194" w:history="1">
        <w:r w:rsidR="001C5526" w:rsidRPr="001C5526">
          <w:rPr>
            <w:rStyle w:val="Hyperlink"/>
          </w:rPr>
          <w:t>https://www.cancer.org.nz/about-us/find-a-cancer-society-office-near-you/national-office/annual-reports-2/</w:t>
        </w:r>
      </w:hyperlink>
      <w:r w:rsidRPr="00C000B2">
        <w:t xml:space="preserve"> (accessed 28 October 2021).</w:t>
      </w:r>
    </w:p>
    <w:p w14:paraId="64177AB2" w14:textId="77777777" w:rsidR="00EF27EC" w:rsidRPr="00C000B2" w:rsidRDefault="00EF27EC" w:rsidP="00043D21">
      <w:pPr>
        <w:pStyle w:val="References"/>
      </w:pPr>
      <w:r w:rsidRPr="00C000B2">
        <w:t xml:space="preserve">Hammond V, Reeder A, Gray A. 2009. Patterns of real-time occupational ultraviolet radiation exposure among a sample of outdoor workers in New Zealand. </w:t>
      </w:r>
      <w:r w:rsidRPr="00C000B2">
        <w:rPr>
          <w:i/>
        </w:rPr>
        <w:t xml:space="preserve">Public Health </w:t>
      </w:r>
      <w:r w:rsidRPr="00C000B2">
        <w:t>123(2): 182–7.</w:t>
      </w:r>
    </w:p>
    <w:p w14:paraId="73CAF366" w14:textId="77777777" w:rsidR="00EF27EC" w:rsidRPr="00C000B2" w:rsidRDefault="00EF27EC" w:rsidP="00043D21">
      <w:pPr>
        <w:pStyle w:val="References"/>
      </w:pPr>
      <w:r w:rsidRPr="00C000B2">
        <w:t xml:space="preserve">Australian Radiation Protection and Nuclear Safety Agency. 2003. </w:t>
      </w:r>
      <w:r w:rsidRPr="00C000B2">
        <w:rPr>
          <w:i/>
        </w:rPr>
        <w:t xml:space="preserve">Resource Guide for UVR Protective Products. </w:t>
      </w:r>
      <w:proofErr w:type="spellStart"/>
      <w:r w:rsidRPr="00C000B2">
        <w:t>Yallambie</w:t>
      </w:r>
      <w:proofErr w:type="spellEnd"/>
      <w:r w:rsidRPr="00C000B2">
        <w:t>, Vic: Australian Radiation Protection and Nuclear Safety Agency.</w:t>
      </w:r>
    </w:p>
    <w:p w14:paraId="4BE8901B" w14:textId="77777777" w:rsidR="00EF27EC" w:rsidRPr="00C000B2" w:rsidRDefault="00EF27EC" w:rsidP="00043D21">
      <w:pPr>
        <w:pStyle w:val="References"/>
      </w:pPr>
      <w:r w:rsidRPr="00C000B2">
        <w:t>Community Preventive Services Task Force. 2020. Guide to community preventive services: skin cancer: interventions in outdoor occupational settings</w:t>
      </w:r>
      <w:r w:rsidRPr="001C5526">
        <w:rPr>
          <w:i/>
        </w:rPr>
        <w:t>. The Community Guide</w:t>
      </w:r>
      <w:r w:rsidRPr="00C000B2">
        <w:t xml:space="preserve">. URL: </w:t>
      </w:r>
      <w:hyperlink r:id="rId195" w:history="1">
        <w:r w:rsidR="001C5526" w:rsidRPr="001C5526">
          <w:rPr>
            <w:rStyle w:val="Hyperlink"/>
          </w:rPr>
          <w:t>https://www.thecommunityguide.org/findings/skin-cancer-interventions-outdoor-occupational-settings</w:t>
        </w:r>
      </w:hyperlink>
      <w:r w:rsidRPr="00C000B2">
        <w:t xml:space="preserve"> (accessed 29</w:t>
      </w:r>
      <w:r w:rsidR="001C5526">
        <w:t xml:space="preserve"> </w:t>
      </w:r>
      <w:r w:rsidRPr="00C000B2">
        <w:t>October 2021).</w:t>
      </w:r>
    </w:p>
    <w:p w14:paraId="33ED45FC" w14:textId="77777777" w:rsidR="00EF27EC" w:rsidRPr="00C000B2" w:rsidRDefault="00EF27EC" w:rsidP="00043D21">
      <w:pPr>
        <w:pStyle w:val="References"/>
      </w:pPr>
      <w:r w:rsidRPr="00C000B2">
        <w:t xml:space="preserve">Reeder A, Gray A, McCool J. 2013. Occupational sun protection: workplace culture, equipment provision and outdoor workers’ characteristics. </w:t>
      </w:r>
      <w:r w:rsidRPr="00C000B2">
        <w:rPr>
          <w:i/>
        </w:rPr>
        <w:t xml:space="preserve">Journal of Occupational Health </w:t>
      </w:r>
      <w:r w:rsidRPr="00C000B2">
        <w:t>55(2): 84–97.</w:t>
      </w:r>
    </w:p>
    <w:p w14:paraId="30A296C9" w14:textId="77777777" w:rsidR="00EF27EC" w:rsidRPr="00C000B2" w:rsidRDefault="00EF27EC" w:rsidP="00043D21">
      <w:pPr>
        <w:pStyle w:val="References"/>
      </w:pPr>
      <w:r w:rsidRPr="00C000B2">
        <w:t xml:space="preserve">Safe Work Australia. 2019. </w:t>
      </w:r>
      <w:r w:rsidRPr="00C000B2">
        <w:rPr>
          <w:i/>
        </w:rPr>
        <w:t xml:space="preserve">Guide on </w:t>
      </w:r>
      <w:r w:rsidR="001C5526">
        <w:rPr>
          <w:i/>
        </w:rPr>
        <w:t>E</w:t>
      </w:r>
      <w:r w:rsidRPr="00C000B2">
        <w:rPr>
          <w:i/>
        </w:rPr>
        <w:t xml:space="preserve">xposure to </w:t>
      </w:r>
      <w:r w:rsidR="001C5526">
        <w:rPr>
          <w:i/>
        </w:rPr>
        <w:t>S</w:t>
      </w:r>
      <w:r w:rsidRPr="00C000B2">
        <w:rPr>
          <w:i/>
        </w:rPr>
        <w:t xml:space="preserve">olar </w:t>
      </w:r>
      <w:r w:rsidR="001C5526">
        <w:rPr>
          <w:i/>
        </w:rPr>
        <w:t>U</w:t>
      </w:r>
      <w:r w:rsidRPr="00C000B2">
        <w:rPr>
          <w:i/>
        </w:rPr>
        <w:t xml:space="preserve">ltraviolet </w:t>
      </w:r>
      <w:r w:rsidR="001C5526">
        <w:rPr>
          <w:i/>
        </w:rPr>
        <w:t>R</w:t>
      </w:r>
      <w:r w:rsidRPr="00C000B2">
        <w:rPr>
          <w:i/>
        </w:rPr>
        <w:t>adiation (UVR): National guidance</w:t>
      </w:r>
      <w:r w:rsidRPr="00C000B2">
        <w:t xml:space="preserve">. Canberra: Safe Work Australia. URL: </w:t>
      </w:r>
      <w:hyperlink r:id="rId196" w:history="1">
        <w:r w:rsidR="001C5526" w:rsidRPr="001C5526">
          <w:rPr>
            <w:rStyle w:val="Hyperlink"/>
          </w:rPr>
          <w:t>https://www.safeworkaustralia.gov.au/system/files/documents/2001/guide-exposure-solar-ultraviolet-radiation_1.pdf</w:t>
        </w:r>
      </w:hyperlink>
      <w:r w:rsidRPr="00C000B2">
        <w:t xml:space="preserve"> (accessed 30 October 2021).</w:t>
      </w:r>
    </w:p>
    <w:p w14:paraId="687F665F" w14:textId="77777777" w:rsidR="00EF27EC" w:rsidRPr="00C000B2" w:rsidRDefault="00EF27EC" w:rsidP="00043D21">
      <w:pPr>
        <w:pStyle w:val="References"/>
      </w:pPr>
      <w:r w:rsidRPr="00C000B2">
        <w:t xml:space="preserve">WorkSafe New Zealand. 2017. </w:t>
      </w:r>
      <w:r w:rsidRPr="001C5526">
        <w:rPr>
          <w:i/>
        </w:rPr>
        <w:t>Health and Safety at Work Act 2015</w:t>
      </w:r>
      <w:r w:rsidRPr="00C000B2">
        <w:rPr>
          <w:i/>
        </w:rPr>
        <w:t xml:space="preserve">. </w:t>
      </w:r>
      <w:r w:rsidRPr="00C000B2">
        <w:t xml:space="preserve">URL: </w:t>
      </w:r>
      <w:hyperlink r:id="rId197" w:history="1">
        <w:r w:rsidR="001C5526" w:rsidRPr="001C5526">
          <w:rPr>
            <w:rStyle w:val="Hyperlink"/>
          </w:rPr>
          <w:t>https://worksafe.govt.nz/laws-and-regulations/acts/hswa/</w:t>
        </w:r>
      </w:hyperlink>
      <w:r w:rsidRPr="00C000B2">
        <w:t xml:space="preserve"> (accessed 28 October 2021).</w:t>
      </w:r>
    </w:p>
    <w:p w14:paraId="7A87440B" w14:textId="77777777" w:rsidR="00EF27EC" w:rsidRPr="00C000B2" w:rsidRDefault="00EF27EC" w:rsidP="001C5526">
      <w:pPr>
        <w:pStyle w:val="References"/>
        <w:keepNext/>
        <w:keepLines/>
      </w:pPr>
      <w:r w:rsidRPr="00C000B2">
        <w:lastRenderedPageBreak/>
        <w:t xml:space="preserve">Dodd A, Marceau J. 2018. </w:t>
      </w:r>
      <w:r w:rsidRPr="00C000B2">
        <w:rPr>
          <w:i/>
        </w:rPr>
        <w:t>Sun Protection Practices in Equity-funded Early Childhood Education Settings in Christchurch</w:t>
      </w:r>
      <w:r w:rsidRPr="00C000B2">
        <w:t xml:space="preserve">. Christchurch: Cancer Society and Canterbury District Health Board. URL: </w:t>
      </w:r>
      <w:hyperlink r:id="rId198" w:history="1">
        <w:r w:rsidR="001C5526" w:rsidRPr="001C5526">
          <w:rPr>
            <w:rStyle w:val="Hyperlink"/>
          </w:rPr>
          <w:t>https://www.cph.co.nz/wp-content/uploads/ecesunprotectionsurveyreport.pdf</w:t>
        </w:r>
      </w:hyperlink>
      <w:r w:rsidRPr="00C000B2">
        <w:t xml:space="preserve"> (accessed 29 October 2021).</w:t>
      </w:r>
    </w:p>
    <w:p w14:paraId="324A4BAA" w14:textId="77777777" w:rsidR="00EF27EC" w:rsidRPr="00C000B2" w:rsidRDefault="00EF27EC" w:rsidP="00043D21">
      <w:pPr>
        <w:pStyle w:val="References"/>
      </w:pPr>
      <w:r w:rsidRPr="00C000B2">
        <w:t xml:space="preserve">Bray K. 2018. </w:t>
      </w:r>
      <w:r w:rsidRPr="001C5526">
        <w:rPr>
          <w:i/>
        </w:rPr>
        <w:t xml:space="preserve">Sunscreen: </w:t>
      </w:r>
      <w:r w:rsidR="001C5526" w:rsidRPr="001C5526">
        <w:rPr>
          <w:i/>
        </w:rPr>
        <w:t>C</w:t>
      </w:r>
      <w:r w:rsidRPr="001C5526">
        <w:rPr>
          <w:i/>
        </w:rPr>
        <w:t>onsumer attitudes and concerns</w:t>
      </w:r>
      <w:r w:rsidRPr="00C000B2">
        <w:t xml:space="preserve">. Australian Skin and Skin Cancer Research Centre. URL: </w:t>
      </w:r>
      <w:hyperlink r:id="rId199" w:history="1">
        <w:r w:rsidR="001C5526" w:rsidRPr="001C5526">
          <w:rPr>
            <w:rStyle w:val="Hyperlink"/>
          </w:rPr>
          <w:t>http://www.assc.org.au/wp-content/uploads/2018/03/K-Bray-Choice-Sunscreen-Summit- presentation-unverified.pdf</w:t>
        </w:r>
      </w:hyperlink>
      <w:r w:rsidRPr="00C000B2">
        <w:t xml:space="preserve"> (accessed 28 October 2021).</w:t>
      </w:r>
    </w:p>
    <w:p w14:paraId="6745815C" w14:textId="77777777" w:rsidR="00EF27EC" w:rsidRPr="00C000B2" w:rsidRDefault="00EF27EC" w:rsidP="00043D21">
      <w:pPr>
        <w:pStyle w:val="References"/>
      </w:pPr>
      <w:r w:rsidRPr="00C000B2">
        <w:t xml:space="preserve">Holman DM, Berkowitz Z, Guy Jr GP, et al. 2015. Patterns of sunscreen use on the face and other exposed skin among US adults. </w:t>
      </w:r>
      <w:r w:rsidRPr="00C000B2">
        <w:rPr>
          <w:i/>
        </w:rPr>
        <w:t xml:space="preserve">Journal of the American Academy of Dermatology </w:t>
      </w:r>
      <w:r w:rsidRPr="00C000B2">
        <w:t>73(1): 83–92. e81.</w:t>
      </w:r>
    </w:p>
    <w:p w14:paraId="7080A6FF" w14:textId="77777777" w:rsidR="00EF27EC" w:rsidRPr="00C000B2" w:rsidRDefault="00EF27EC" w:rsidP="00043D21">
      <w:pPr>
        <w:pStyle w:val="References"/>
      </w:pPr>
      <w:r w:rsidRPr="00C000B2">
        <w:t xml:space="preserve">Whiteman DC, Neale RE, Aitken J, et al. 2019. When to apply sunscreen: a consensus statement for Australia and New Zealand. </w:t>
      </w:r>
      <w:r w:rsidRPr="00C000B2">
        <w:rPr>
          <w:i/>
        </w:rPr>
        <w:t xml:space="preserve">Australian and New Zealand Journal of Public Health </w:t>
      </w:r>
      <w:r w:rsidRPr="00C000B2">
        <w:t>43(2): 171–5.</w:t>
      </w:r>
    </w:p>
    <w:p w14:paraId="12937927" w14:textId="77777777" w:rsidR="00EF27EC" w:rsidRPr="00C000B2" w:rsidRDefault="00EF27EC" w:rsidP="00043D21">
      <w:pPr>
        <w:pStyle w:val="References"/>
      </w:pPr>
      <w:r w:rsidRPr="00C000B2">
        <w:t xml:space="preserve">Gordon L, Olsen C, Whiteman DC, et al. 2020. Prevention versus early detection for long-term control of melanoma and keratinocyte carcinomas: a cost-effectiveness modelling study. </w:t>
      </w:r>
      <w:r w:rsidRPr="00C000B2">
        <w:rPr>
          <w:i/>
        </w:rPr>
        <w:t xml:space="preserve">BMJ Open </w:t>
      </w:r>
      <w:r w:rsidRPr="00C000B2">
        <w:t>10(2): e034388.</w:t>
      </w:r>
    </w:p>
    <w:p w14:paraId="3E9B9207" w14:textId="77777777" w:rsidR="00EF27EC" w:rsidRPr="00C000B2" w:rsidRDefault="00EF27EC" w:rsidP="00043D21">
      <w:pPr>
        <w:pStyle w:val="References"/>
      </w:pPr>
      <w:r w:rsidRPr="00C000B2">
        <w:t xml:space="preserve">Australian Government Department of Health. 2021. The Pharmaceutical Benefits Scheme: About the PBS. URL: </w:t>
      </w:r>
      <w:r w:rsidRPr="001C5526">
        <w:rPr>
          <w:rStyle w:val="Hyperlink"/>
        </w:rPr>
        <w:t>https://</w:t>
      </w:r>
      <w:hyperlink r:id="rId200">
        <w:r w:rsidRPr="001C5526">
          <w:rPr>
            <w:rStyle w:val="Hyperlink"/>
          </w:rPr>
          <w:t>www.pbs.gov.au/info/about-the-pbs</w:t>
        </w:r>
        <w:r w:rsidRPr="00C000B2">
          <w:t xml:space="preserve"> </w:t>
        </w:r>
      </w:hyperlink>
      <w:r w:rsidRPr="00C000B2">
        <w:t>(accessed 28 October 2021).</w:t>
      </w:r>
    </w:p>
    <w:p w14:paraId="713DED9B" w14:textId="77777777" w:rsidR="00EF27EC" w:rsidRPr="00C000B2" w:rsidRDefault="00EF27EC" w:rsidP="00043D21">
      <w:pPr>
        <w:pStyle w:val="References"/>
      </w:pPr>
      <w:r w:rsidRPr="00C000B2">
        <w:t xml:space="preserve">New Zealand Parliament. </w:t>
      </w:r>
      <w:proofErr w:type="spellStart"/>
      <w:r w:rsidRPr="00C000B2">
        <w:t>nd</w:t>
      </w:r>
      <w:proofErr w:type="spellEnd"/>
      <w:r w:rsidRPr="00C000B2">
        <w:t xml:space="preserve">. </w:t>
      </w:r>
      <w:r w:rsidRPr="001C5526">
        <w:rPr>
          <w:i/>
        </w:rPr>
        <w:t>Sunscreen (Product Safety Standard) Bill</w:t>
      </w:r>
      <w:r w:rsidRPr="00C000B2">
        <w:t xml:space="preserve">. URL: </w:t>
      </w:r>
      <w:hyperlink r:id="rId201" w:history="1">
        <w:r w:rsidR="001C5526" w:rsidRPr="001C5526">
          <w:rPr>
            <w:rStyle w:val="Hyperlink"/>
          </w:rPr>
          <w:t>https://www.parliament.nz/en/pb/bills-and-laws/bills-proposed-laws/document/BILL_109343/tab/submissionsandadvice</w:t>
        </w:r>
      </w:hyperlink>
      <w:r w:rsidRPr="00C000B2">
        <w:t xml:space="preserve"> (accessed 28 October 2021).</w:t>
      </w:r>
    </w:p>
    <w:p w14:paraId="6FD1560E" w14:textId="77777777" w:rsidR="00EF27EC" w:rsidRPr="00C000B2" w:rsidRDefault="00EF27EC" w:rsidP="00043D21">
      <w:pPr>
        <w:pStyle w:val="References"/>
      </w:pPr>
      <w:r w:rsidRPr="00C000B2">
        <w:t xml:space="preserve">Ministry of Health. 2019. </w:t>
      </w:r>
      <w:r w:rsidRPr="00C000B2">
        <w:rPr>
          <w:i/>
        </w:rPr>
        <w:t>Therapeutic Products Regulatory Scheme Consultation. Key themes from submissions on the Therapeutic Products Bill</w:t>
      </w:r>
      <w:r w:rsidRPr="00C000B2">
        <w:t xml:space="preserve">. Wellington: Ministry of Health. URL: </w:t>
      </w:r>
      <w:hyperlink r:id="rId202" w:history="1">
        <w:r w:rsidR="001C5526" w:rsidRPr="001C5526">
          <w:rPr>
            <w:rStyle w:val="Hyperlink"/>
          </w:rPr>
          <w:t>https://www.health.govt.nz/publication/therapeutic-products-regulatory-scheme-consultation</w:t>
        </w:r>
      </w:hyperlink>
      <w:r w:rsidRPr="00C000B2">
        <w:t xml:space="preserve"> (accessed 29 October 2021).</w:t>
      </w:r>
    </w:p>
    <w:p w14:paraId="4CDF55F0" w14:textId="77777777" w:rsidR="00EF27EC" w:rsidRPr="00C000B2" w:rsidRDefault="00EF27EC" w:rsidP="00043D21">
      <w:pPr>
        <w:pStyle w:val="References"/>
      </w:pPr>
      <w:proofErr w:type="spellStart"/>
      <w:r w:rsidRPr="00C000B2">
        <w:t>Medsafe</w:t>
      </w:r>
      <w:proofErr w:type="spellEnd"/>
      <w:r w:rsidRPr="00C000B2">
        <w:t xml:space="preserve">. 2014. </w:t>
      </w:r>
      <w:r w:rsidRPr="00C000B2">
        <w:rPr>
          <w:i/>
        </w:rPr>
        <w:t xml:space="preserve">Guideline on the Regulation of Therapeutic Products in New Zealand. Part 1: Overview of therapeutic product </w:t>
      </w:r>
      <w:proofErr w:type="spellStart"/>
      <w:r w:rsidRPr="00C000B2">
        <w:rPr>
          <w:i/>
        </w:rPr>
        <w:t>regulatrion</w:t>
      </w:r>
      <w:proofErr w:type="spellEnd"/>
      <w:r w:rsidRPr="00C000B2">
        <w:rPr>
          <w:i/>
        </w:rPr>
        <w:t>. Edition 1.0</w:t>
      </w:r>
      <w:r w:rsidRPr="00C000B2">
        <w:t xml:space="preserve">. Wellington: </w:t>
      </w:r>
      <w:proofErr w:type="spellStart"/>
      <w:r w:rsidRPr="00C000B2">
        <w:t>Medsafe</w:t>
      </w:r>
      <w:proofErr w:type="spellEnd"/>
      <w:r w:rsidRPr="00C000B2">
        <w:t xml:space="preserve">. URL: </w:t>
      </w:r>
      <w:hyperlink r:id="rId203" w:history="1">
        <w:r w:rsidR="001C5526" w:rsidRPr="001C5526">
          <w:rPr>
            <w:rStyle w:val="Hyperlink"/>
          </w:rPr>
          <w:t>https://www.medsafe.govt.nz/regulatory/Guideline/GRTPNZ/overview-of-therapeutic-product-regulation.pdf</w:t>
        </w:r>
      </w:hyperlink>
      <w:r w:rsidRPr="00C000B2">
        <w:t xml:space="preserve"> (accessed 29 October 2021).</w:t>
      </w:r>
    </w:p>
    <w:p w14:paraId="2EF0C5F5" w14:textId="77777777" w:rsidR="00EF27EC" w:rsidRPr="00C000B2" w:rsidRDefault="00EF27EC" w:rsidP="00043D21">
      <w:pPr>
        <w:pStyle w:val="References"/>
      </w:pPr>
      <w:r w:rsidRPr="00C000B2">
        <w:t>Consumer New Zealand. 2021. Why sunscreens should be regulated</w:t>
      </w:r>
      <w:r w:rsidRPr="00C000B2">
        <w:rPr>
          <w:i/>
        </w:rPr>
        <w:t xml:space="preserve">. </w:t>
      </w:r>
      <w:r w:rsidRPr="00C000B2">
        <w:t xml:space="preserve">Hot from the lab: our latest sunscreen test results. </w:t>
      </w:r>
      <w:r w:rsidRPr="00C000B2">
        <w:rPr>
          <w:i/>
        </w:rPr>
        <w:t xml:space="preserve">Consumer </w:t>
      </w:r>
      <w:r w:rsidRPr="00C000B2">
        <w:t xml:space="preserve">12 May. URL: </w:t>
      </w:r>
      <w:hyperlink r:id="rId204" w:history="1">
        <w:r w:rsidR="001C5526" w:rsidRPr="001C5526">
          <w:rPr>
            <w:rStyle w:val="Hyperlink"/>
          </w:rPr>
          <w:t>https://www.consumer.org.nz/articles/why-sunscreens-should-be-regulated/full-test-results</w:t>
        </w:r>
      </w:hyperlink>
      <w:r w:rsidRPr="00C000B2">
        <w:t xml:space="preserve"> (accessed 28 October 2021).</w:t>
      </w:r>
    </w:p>
    <w:p w14:paraId="65E725D0" w14:textId="77777777" w:rsidR="00EF27EC" w:rsidRPr="00C000B2" w:rsidRDefault="00EF27EC" w:rsidP="00043D21">
      <w:pPr>
        <w:pStyle w:val="References"/>
      </w:pPr>
      <w:proofErr w:type="spellStart"/>
      <w:r w:rsidRPr="00C000B2">
        <w:t>McNoe</w:t>
      </w:r>
      <w:proofErr w:type="spellEnd"/>
      <w:r w:rsidRPr="00C000B2">
        <w:t xml:space="preserve"> B. 2021. Prevention is better than cure: we can do better in skin cancer control in New Zealand! </w:t>
      </w:r>
      <w:r w:rsidRPr="00C000B2">
        <w:rPr>
          <w:i/>
        </w:rPr>
        <w:t xml:space="preserve">New Zealand Medical Journal </w:t>
      </w:r>
      <w:r w:rsidRPr="00C000B2">
        <w:t>134(1544):</w:t>
      </w:r>
      <w:r w:rsidR="001C5526">
        <w:t xml:space="preserve"> </w:t>
      </w:r>
      <w:r w:rsidRPr="00C000B2">
        <w:t>138–44.</w:t>
      </w:r>
    </w:p>
    <w:p w14:paraId="6FA28649" w14:textId="77777777" w:rsidR="00EF27EC" w:rsidRPr="00C000B2" w:rsidRDefault="00EF27EC" w:rsidP="00043D21">
      <w:pPr>
        <w:pStyle w:val="References"/>
      </w:pPr>
      <w:r w:rsidRPr="00C000B2">
        <w:t xml:space="preserve">Castles B. 2020. Why sunbeds should be banned. </w:t>
      </w:r>
      <w:r w:rsidRPr="00C000B2">
        <w:rPr>
          <w:i/>
        </w:rPr>
        <w:t xml:space="preserve">Consumer </w:t>
      </w:r>
      <w:r w:rsidRPr="00C000B2">
        <w:t xml:space="preserve">7 April. URL: </w:t>
      </w:r>
      <w:hyperlink r:id="rId205" w:history="1">
        <w:r w:rsidR="001C5526" w:rsidRPr="001C5526">
          <w:rPr>
            <w:rStyle w:val="Hyperlink"/>
          </w:rPr>
          <w:t>https://www.consumer.org.nz/articles/sunbeds</w:t>
        </w:r>
      </w:hyperlink>
      <w:r w:rsidRPr="00C000B2">
        <w:t xml:space="preserve"> (accessed 29 October 2021).</w:t>
      </w:r>
    </w:p>
    <w:p w14:paraId="490683AC" w14:textId="77777777" w:rsidR="00EF27EC" w:rsidRPr="00C000B2" w:rsidRDefault="00EF27EC" w:rsidP="001C5526">
      <w:pPr>
        <w:pStyle w:val="References"/>
        <w:keepNext/>
      </w:pPr>
      <w:proofErr w:type="spellStart"/>
      <w:r w:rsidRPr="00C000B2">
        <w:lastRenderedPageBreak/>
        <w:t>Rositch</w:t>
      </w:r>
      <w:proofErr w:type="spellEnd"/>
      <w:r w:rsidRPr="00C000B2">
        <w:t xml:space="preserve"> AF. 2020. Global burden of cancer attributable to infections: the critical role of implementation science. </w:t>
      </w:r>
      <w:r w:rsidRPr="00C000B2">
        <w:rPr>
          <w:i/>
        </w:rPr>
        <w:t xml:space="preserve">The Lancet Global Health </w:t>
      </w:r>
      <w:r w:rsidRPr="00C000B2">
        <w:t>8(2): e153–4.</w:t>
      </w:r>
    </w:p>
    <w:p w14:paraId="19F63FB8" w14:textId="77777777" w:rsidR="00EF27EC" w:rsidRPr="00C000B2" w:rsidRDefault="00EF27EC" w:rsidP="00043D21">
      <w:pPr>
        <w:pStyle w:val="References"/>
      </w:pPr>
      <w:r w:rsidRPr="00C000B2">
        <w:t xml:space="preserve">de Martel C, Georges D, Bray F, et al. 2020. Global burden of cancer attributable to infections in 2018: a worldwide incidence analysis. </w:t>
      </w:r>
      <w:r w:rsidRPr="00C000B2">
        <w:rPr>
          <w:i/>
        </w:rPr>
        <w:t xml:space="preserve">The Lancet Global Health </w:t>
      </w:r>
      <w:r w:rsidRPr="00C000B2">
        <w:t>8(2):</w:t>
      </w:r>
      <w:r w:rsidR="001C5526">
        <w:t> </w:t>
      </w:r>
      <w:r w:rsidRPr="00C000B2">
        <w:t>e180–90.</w:t>
      </w:r>
    </w:p>
    <w:p w14:paraId="16F72E58" w14:textId="77777777" w:rsidR="00EF27EC" w:rsidRPr="00C000B2" w:rsidRDefault="00EF27EC" w:rsidP="00043D21">
      <w:pPr>
        <w:pStyle w:val="References"/>
      </w:pPr>
      <w:r w:rsidRPr="00C000B2">
        <w:t>Goncalves PH, Montezuma-</w:t>
      </w:r>
      <w:proofErr w:type="spellStart"/>
      <w:r w:rsidRPr="00C000B2">
        <w:t>Rusca</w:t>
      </w:r>
      <w:proofErr w:type="spellEnd"/>
      <w:r w:rsidRPr="00C000B2">
        <w:t xml:space="preserve"> JM, </w:t>
      </w:r>
      <w:proofErr w:type="spellStart"/>
      <w:r w:rsidRPr="00C000B2">
        <w:t>Yarchoan</w:t>
      </w:r>
      <w:proofErr w:type="spellEnd"/>
      <w:r w:rsidRPr="00C000B2">
        <w:t xml:space="preserve"> R, et al. 2016. Cancer prevention in HIV-infected populations. </w:t>
      </w:r>
      <w:r w:rsidRPr="00C000B2">
        <w:rPr>
          <w:i/>
        </w:rPr>
        <w:t xml:space="preserve">Seminars in Oncology </w:t>
      </w:r>
      <w:r w:rsidRPr="00C000B2">
        <w:t>43(1): 173–88. DOI: 10.1053/j.seminoncol.2015.09.011 (accessed 29 October 2021).</w:t>
      </w:r>
    </w:p>
    <w:p w14:paraId="23B997CC" w14:textId="77777777" w:rsidR="00EF27EC" w:rsidRPr="00C000B2" w:rsidRDefault="00EF27EC" w:rsidP="00043D21">
      <w:pPr>
        <w:pStyle w:val="References"/>
      </w:pPr>
      <w:r w:rsidRPr="00C000B2">
        <w:t xml:space="preserve">Signal V, Gurney J, Inns S, et al. 2020. </w:t>
      </w:r>
      <w:r w:rsidRPr="00C000B2">
        <w:rPr>
          <w:i/>
        </w:rPr>
        <w:t>Helicobacter pylori</w:t>
      </w:r>
      <w:r w:rsidRPr="00C000B2">
        <w:t xml:space="preserve">, stomach cancer and its prevention in New Zealand. </w:t>
      </w:r>
      <w:r w:rsidRPr="00C000B2">
        <w:rPr>
          <w:i/>
        </w:rPr>
        <w:t>Journal of the Royal Society of New Zealand</w:t>
      </w:r>
      <w:r w:rsidR="001C5526">
        <w:br/>
      </w:r>
      <w:r w:rsidRPr="00C000B2">
        <w:t>50(3): 397–417.</w:t>
      </w:r>
    </w:p>
    <w:p w14:paraId="22013EEF" w14:textId="77777777" w:rsidR="00EF27EC" w:rsidRPr="00C000B2" w:rsidRDefault="00EF27EC" w:rsidP="00043D21">
      <w:pPr>
        <w:pStyle w:val="References"/>
      </w:pPr>
      <w:r w:rsidRPr="00C000B2">
        <w:t xml:space="preserve">Chang AH, </w:t>
      </w:r>
      <w:proofErr w:type="spellStart"/>
      <w:r w:rsidRPr="00C000B2">
        <w:t>Parsonnet</w:t>
      </w:r>
      <w:proofErr w:type="spellEnd"/>
      <w:r w:rsidRPr="00C000B2">
        <w:t xml:space="preserve"> J. 2010. Role of bacteria in oncogenesis. </w:t>
      </w:r>
      <w:r w:rsidRPr="00C000B2">
        <w:rPr>
          <w:i/>
        </w:rPr>
        <w:t xml:space="preserve">Clinical Microbiology Reviews </w:t>
      </w:r>
      <w:r w:rsidRPr="00C000B2">
        <w:t>23(4): 837–57.</w:t>
      </w:r>
    </w:p>
    <w:p w14:paraId="24D817CA" w14:textId="77777777" w:rsidR="00EF27EC" w:rsidRPr="00C000B2" w:rsidRDefault="00EF27EC" w:rsidP="00043D21">
      <w:pPr>
        <w:pStyle w:val="References"/>
      </w:pPr>
      <w:r w:rsidRPr="00C000B2">
        <w:t xml:space="preserve">McDonald AM, Sarfati D, Baker MG, et al. 2015. Trends in </w:t>
      </w:r>
      <w:r w:rsidRPr="00C000B2">
        <w:rPr>
          <w:i/>
        </w:rPr>
        <w:t xml:space="preserve">Helicobacter pylori </w:t>
      </w:r>
      <w:r w:rsidRPr="00C000B2">
        <w:t xml:space="preserve">infection among Māori, Pacific, and European birth cohorts in New Zealand. </w:t>
      </w:r>
      <w:r w:rsidRPr="00C000B2">
        <w:rPr>
          <w:i/>
        </w:rPr>
        <w:t xml:space="preserve">Helicobacter </w:t>
      </w:r>
      <w:r w:rsidRPr="00C000B2">
        <w:t>20(2): 139–45.</w:t>
      </w:r>
    </w:p>
    <w:p w14:paraId="1115665E" w14:textId="77777777" w:rsidR="00EF27EC" w:rsidRPr="00C000B2" w:rsidRDefault="00EF27EC" w:rsidP="00043D21">
      <w:pPr>
        <w:pStyle w:val="References"/>
      </w:pPr>
      <w:r w:rsidRPr="00C000B2">
        <w:t>Signal V. 2016. Making sense of stomach cancer inequities in Aotearoa New Zealand</w:t>
      </w:r>
      <w:r w:rsidRPr="00C000B2">
        <w:rPr>
          <w:i/>
        </w:rPr>
        <w:t xml:space="preserve">. </w:t>
      </w:r>
      <w:r w:rsidRPr="00C000B2">
        <w:t>PhD thesis, University of Otago, Dunedin.</w:t>
      </w:r>
    </w:p>
    <w:p w14:paraId="7D04F0A6" w14:textId="77777777" w:rsidR="00EF27EC" w:rsidRPr="00C000B2" w:rsidRDefault="00EF27EC" w:rsidP="00043D21">
      <w:pPr>
        <w:pStyle w:val="References"/>
      </w:pPr>
      <w:r w:rsidRPr="00C000B2">
        <w:t xml:space="preserve">de Martel C, Plummer M, </w:t>
      </w:r>
      <w:proofErr w:type="spellStart"/>
      <w:r w:rsidRPr="00C000B2">
        <w:t>Vignat</w:t>
      </w:r>
      <w:proofErr w:type="spellEnd"/>
      <w:r w:rsidRPr="00C000B2">
        <w:t xml:space="preserve"> J, et al. 2017. Worldwide burden of cancer attributable to HPV by site, </w:t>
      </w:r>
      <w:proofErr w:type="gramStart"/>
      <w:r w:rsidRPr="00C000B2">
        <w:t>country</w:t>
      </w:r>
      <w:proofErr w:type="gramEnd"/>
      <w:r w:rsidRPr="00C000B2">
        <w:t xml:space="preserve"> and HPV type. </w:t>
      </w:r>
      <w:r w:rsidRPr="00C000B2">
        <w:rPr>
          <w:i/>
        </w:rPr>
        <w:t xml:space="preserve">International Journal of Cancer </w:t>
      </w:r>
      <w:r w:rsidRPr="00C000B2">
        <w:t>141(4): 664–70.</w:t>
      </w:r>
    </w:p>
    <w:p w14:paraId="4190FB9A" w14:textId="77777777" w:rsidR="00EF27EC" w:rsidRPr="00C000B2" w:rsidRDefault="00EF27EC" w:rsidP="00043D21">
      <w:pPr>
        <w:pStyle w:val="References"/>
      </w:pPr>
      <w:r w:rsidRPr="00C000B2">
        <w:t xml:space="preserve">Immunisation Advisory Centre. 2020. Human papillomavirus (HPV). URL: </w:t>
      </w:r>
      <w:hyperlink r:id="rId206" w:history="1">
        <w:r w:rsidR="001C5526" w:rsidRPr="001C5526">
          <w:rPr>
            <w:rStyle w:val="Hyperlink"/>
          </w:rPr>
          <w:t>https://www.immune.org.nz/diseases/human-papillomavirus-hpv</w:t>
        </w:r>
      </w:hyperlink>
      <w:r w:rsidRPr="00C000B2">
        <w:t xml:space="preserve"> (accessed 28</w:t>
      </w:r>
      <w:r w:rsidR="001C5526">
        <w:t> </w:t>
      </w:r>
      <w:r w:rsidRPr="00C000B2">
        <w:t>October 2021).</w:t>
      </w:r>
    </w:p>
    <w:p w14:paraId="721120FA" w14:textId="77777777" w:rsidR="00EF27EC" w:rsidRPr="00C000B2" w:rsidRDefault="00EF27EC" w:rsidP="00043D21">
      <w:pPr>
        <w:pStyle w:val="References"/>
      </w:pPr>
      <w:r w:rsidRPr="00C000B2">
        <w:t xml:space="preserve">Schauer C, Mules T, van </w:t>
      </w:r>
      <w:proofErr w:type="spellStart"/>
      <w:r w:rsidRPr="00C000B2">
        <w:t>Rijnsoever</w:t>
      </w:r>
      <w:proofErr w:type="spellEnd"/>
      <w:r w:rsidRPr="00C000B2">
        <w:t xml:space="preserve"> M, et al. 2020. Increasing burden of advanced hepatocellular carcinoma in New Zealand</w:t>
      </w:r>
      <w:r w:rsidR="001C5526">
        <w:t xml:space="preserve"> – </w:t>
      </w:r>
      <w:r w:rsidRPr="00C000B2">
        <w:t xml:space="preserve">the need for better surveillance. </w:t>
      </w:r>
      <w:r w:rsidRPr="00C000B2">
        <w:rPr>
          <w:i/>
        </w:rPr>
        <w:t xml:space="preserve">New Zealand Medical Journal </w:t>
      </w:r>
      <w:r w:rsidRPr="00C000B2">
        <w:t>133(1515): 25–34.</w:t>
      </w:r>
    </w:p>
    <w:p w14:paraId="162B1574" w14:textId="77777777" w:rsidR="00EF27EC" w:rsidRPr="00C000B2" w:rsidRDefault="00EF27EC" w:rsidP="00043D21">
      <w:pPr>
        <w:pStyle w:val="References"/>
      </w:pPr>
      <w:r w:rsidRPr="00C000B2">
        <w:t xml:space="preserve">BPAC. 2018. </w:t>
      </w:r>
      <w:r w:rsidR="009278A9">
        <w:t>Hepatitis B</w:t>
      </w:r>
      <w:r w:rsidRPr="00C000B2">
        <w:t>: treatments now available for primary care</w:t>
      </w:r>
      <w:r w:rsidRPr="00C000B2">
        <w:rPr>
          <w:i/>
        </w:rPr>
        <w:t xml:space="preserve">. </w:t>
      </w:r>
      <w:r w:rsidRPr="00C000B2">
        <w:t xml:space="preserve">Best Practice Advisory Centre. URL: </w:t>
      </w:r>
      <w:hyperlink r:id="rId207" w:history="1">
        <w:r w:rsidR="001C5526" w:rsidRPr="001C5526">
          <w:rPr>
            <w:rStyle w:val="Hyperlink"/>
          </w:rPr>
          <w:t>https://bpac.org.nz/2018/hepb.aspx</w:t>
        </w:r>
      </w:hyperlink>
      <w:r w:rsidRPr="00C000B2">
        <w:t xml:space="preserve"> (accessed 27 October 2021).</w:t>
      </w:r>
    </w:p>
    <w:p w14:paraId="0DE2B5B8" w14:textId="77777777" w:rsidR="00EF27EC" w:rsidRPr="00C000B2" w:rsidRDefault="00EF27EC" w:rsidP="00043D21">
      <w:pPr>
        <w:pStyle w:val="References"/>
      </w:pPr>
      <w:r w:rsidRPr="00C000B2">
        <w:t xml:space="preserve">BPAC. 2019. </w:t>
      </w:r>
      <w:r w:rsidR="009278A9">
        <w:t>Hepatitis C</w:t>
      </w:r>
      <w:r w:rsidRPr="00C000B2">
        <w:t xml:space="preserve"> management in primary care has changed. Best Practice Advisory Centre. URL: </w:t>
      </w:r>
      <w:hyperlink r:id="rId208" w:history="1">
        <w:r w:rsidR="001C5526" w:rsidRPr="001C5526">
          <w:rPr>
            <w:rStyle w:val="Hyperlink"/>
          </w:rPr>
          <w:t>https://bpac.org.nz/2019/hepc/docs/hepc.pdf</w:t>
        </w:r>
      </w:hyperlink>
      <w:r w:rsidRPr="00C000B2">
        <w:t xml:space="preserve"> (accessed 28</w:t>
      </w:r>
      <w:r w:rsidR="001C5526">
        <w:t> </w:t>
      </w:r>
      <w:r w:rsidRPr="00C000B2">
        <w:t>October 2021).</w:t>
      </w:r>
    </w:p>
    <w:p w14:paraId="4D621E9F" w14:textId="77777777" w:rsidR="00EF27EC" w:rsidRPr="00C000B2" w:rsidRDefault="00EF27EC" w:rsidP="00043D21">
      <w:pPr>
        <w:pStyle w:val="References"/>
      </w:pPr>
      <w:r w:rsidRPr="00C000B2">
        <w:t xml:space="preserve">Matsushita H, Takaki A. 2019. Alcohol and hepatocellular carcinoma. </w:t>
      </w:r>
      <w:r w:rsidRPr="00C000B2">
        <w:rPr>
          <w:i/>
        </w:rPr>
        <w:t xml:space="preserve">BMJ Open Gastroenterology </w:t>
      </w:r>
      <w:r w:rsidRPr="00C000B2">
        <w:t>6(1): e000260.</w:t>
      </w:r>
    </w:p>
    <w:p w14:paraId="483D9E3E" w14:textId="77777777" w:rsidR="00EF27EC" w:rsidRPr="00C000B2" w:rsidRDefault="00EF27EC" w:rsidP="00043D21">
      <w:pPr>
        <w:pStyle w:val="References"/>
      </w:pPr>
      <w:r w:rsidRPr="00C000B2">
        <w:t xml:space="preserve">Abdel-Rahman O, </w:t>
      </w:r>
      <w:proofErr w:type="spellStart"/>
      <w:r w:rsidRPr="00C000B2">
        <w:t>Helbling</w:t>
      </w:r>
      <w:proofErr w:type="spellEnd"/>
      <w:r w:rsidRPr="00C000B2">
        <w:t xml:space="preserve"> D, </w:t>
      </w:r>
      <w:proofErr w:type="spellStart"/>
      <w:r w:rsidRPr="00C000B2">
        <w:t>Schöb</w:t>
      </w:r>
      <w:proofErr w:type="spellEnd"/>
      <w:r w:rsidRPr="00C000B2">
        <w:t xml:space="preserve"> O, et al. 2017. Cigarette smoking as a risk factor for the development of and mortality from hepatocellular carcinoma: an updated systematic review of 81 epidemiological studies. </w:t>
      </w:r>
      <w:r w:rsidRPr="00C000B2">
        <w:rPr>
          <w:i/>
        </w:rPr>
        <w:t>Journal of Evidence-</w:t>
      </w:r>
      <w:r w:rsidR="001C5526">
        <w:rPr>
          <w:i/>
        </w:rPr>
        <w:t>b</w:t>
      </w:r>
      <w:r w:rsidRPr="00C000B2">
        <w:rPr>
          <w:i/>
        </w:rPr>
        <w:t xml:space="preserve">ased Medicine </w:t>
      </w:r>
      <w:r w:rsidRPr="00C000B2">
        <w:t>10(4): 245–54.</w:t>
      </w:r>
    </w:p>
    <w:p w14:paraId="7EEC7A40" w14:textId="77777777" w:rsidR="00EF27EC" w:rsidRPr="00C000B2" w:rsidRDefault="00EF27EC" w:rsidP="00043D21">
      <w:pPr>
        <w:pStyle w:val="References"/>
      </w:pPr>
      <w:proofErr w:type="spellStart"/>
      <w:r w:rsidRPr="00C000B2">
        <w:t>Alqahtani</w:t>
      </w:r>
      <w:proofErr w:type="spellEnd"/>
      <w:r w:rsidRPr="00C000B2">
        <w:t xml:space="preserve"> SA, Colombo M. 2020. Viral hepatitis as a risk factor for the development of hepatocellular carcinoma. </w:t>
      </w:r>
      <w:r w:rsidRPr="00C000B2">
        <w:rPr>
          <w:i/>
        </w:rPr>
        <w:t xml:space="preserve">Hepatoma Research </w:t>
      </w:r>
      <w:r w:rsidRPr="00C000B2">
        <w:t>6: 58.</w:t>
      </w:r>
    </w:p>
    <w:p w14:paraId="511ADF43" w14:textId="77777777" w:rsidR="00EF27EC" w:rsidRPr="00C000B2" w:rsidRDefault="00EF27EC" w:rsidP="001C5526">
      <w:pPr>
        <w:pStyle w:val="References"/>
        <w:keepNext/>
      </w:pPr>
      <w:r w:rsidRPr="00C000B2">
        <w:lastRenderedPageBreak/>
        <w:t xml:space="preserve">Iida-Ueno A, </w:t>
      </w:r>
      <w:proofErr w:type="spellStart"/>
      <w:r w:rsidRPr="00C000B2">
        <w:t>Enomoto</w:t>
      </w:r>
      <w:proofErr w:type="spellEnd"/>
      <w:r w:rsidRPr="00C000B2">
        <w:t xml:space="preserve"> M, </w:t>
      </w:r>
      <w:proofErr w:type="spellStart"/>
      <w:r w:rsidRPr="00C000B2">
        <w:t>Tamori</w:t>
      </w:r>
      <w:proofErr w:type="spellEnd"/>
      <w:r w:rsidRPr="00C000B2">
        <w:t xml:space="preserve"> A, et al. 2017. </w:t>
      </w:r>
      <w:r w:rsidR="009278A9">
        <w:t>Hepatitis B</w:t>
      </w:r>
      <w:r w:rsidRPr="00C000B2">
        <w:t xml:space="preserve"> virus infection and alcohol consumption. </w:t>
      </w:r>
      <w:r w:rsidRPr="00C000B2">
        <w:rPr>
          <w:i/>
        </w:rPr>
        <w:t xml:space="preserve">World Journal of Gastroenterology </w:t>
      </w:r>
      <w:r w:rsidRPr="00C000B2">
        <w:t>23(15): 2651.</w:t>
      </w:r>
    </w:p>
    <w:p w14:paraId="0EF3EA7B" w14:textId="77777777" w:rsidR="00EF27EC" w:rsidRPr="00C000B2" w:rsidRDefault="00EF27EC" w:rsidP="00043D21">
      <w:pPr>
        <w:pStyle w:val="References"/>
      </w:pPr>
      <w:r w:rsidRPr="00C000B2">
        <w:t xml:space="preserve">Kim K, Choi S, Park SM. 2018. Association of high body mass index and hepatocellular carcinoma in patients with chronic </w:t>
      </w:r>
      <w:r w:rsidR="009278A9">
        <w:t>hepatitis B</w:t>
      </w:r>
      <w:r w:rsidRPr="00C000B2">
        <w:t xml:space="preserve"> virus infection: a Korean population-based cohort study. </w:t>
      </w:r>
      <w:r w:rsidRPr="00C000B2">
        <w:rPr>
          <w:i/>
        </w:rPr>
        <w:t xml:space="preserve">JAMA Oncology </w:t>
      </w:r>
      <w:r w:rsidRPr="00C000B2">
        <w:t>4(5): 737–39.</w:t>
      </w:r>
    </w:p>
    <w:p w14:paraId="3E771BB1" w14:textId="77777777" w:rsidR="00EF27EC" w:rsidRPr="00C000B2" w:rsidRDefault="00EF27EC" w:rsidP="00043D21">
      <w:pPr>
        <w:pStyle w:val="References"/>
      </w:pPr>
      <w:proofErr w:type="spellStart"/>
      <w:r w:rsidRPr="00C000B2">
        <w:t>Yarchoan</w:t>
      </w:r>
      <w:proofErr w:type="spellEnd"/>
      <w:r w:rsidRPr="00C000B2">
        <w:t xml:space="preserve"> R, </w:t>
      </w:r>
      <w:proofErr w:type="spellStart"/>
      <w:r w:rsidRPr="00C000B2">
        <w:t>Uldrick</w:t>
      </w:r>
      <w:proofErr w:type="spellEnd"/>
      <w:r w:rsidRPr="00C000B2">
        <w:t xml:space="preserve"> TS. 2018. HIV-</w:t>
      </w:r>
      <w:r w:rsidR="001C5526">
        <w:t>a</w:t>
      </w:r>
      <w:r w:rsidRPr="00C000B2">
        <w:t xml:space="preserve">ssociated </w:t>
      </w:r>
      <w:r w:rsidR="001C5526">
        <w:t>c</w:t>
      </w:r>
      <w:r w:rsidRPr="00C000B2">
        <w:t xml:space="preserve">ancers and </w:t>
      </w:r>
      <w:r w:rsidR="001C5526">
        <w:t>r</w:t>
      </w:r>
      <w:r w:rsidRPr="00C000B2">
        <w:t xml:space="preserve">elated </w:t>
      </w:r>
      <w:r w:rsidR="001C5526">
        <w:t>d</w:t>
      </w:r>
      <w:r w:rsidRPr="00C000B2">
        <w:t xml:space="preserve">iseases. </w:t>
      </w:r>
      <w:r w:rsidRPr="00C000B2">
        <w:rPr>
          <w:i/>
        </w:rPr>
        <w:t xml:space="preserve">The New England Journal of Medicine </w:t>
      </w:r>
      <w:r w:rsidR="009278A9">
        <w:t>378(11): 1029–</w:t>
      </w:r>
      <w:r w:rsidRPr="00C000B2">
        <w:t>41.</w:t>
      </w:r>
    </w:p>
    <w:p w14:paraId="7A6E392D" w14:textId="77777777" w:rsidR="00EF27EC" w:rsidRPr="00C000B2" w:rsidRDefault="00EF27EC" w:rsidP="00043D21">
      <w:pPr>
        <w:pStyle w:val="References"/>
      </w:pPr>
      <w:r w:rsidRPr="00C000B2">
        <w:t xml:space="preserve">Coghill AE, Shiels MS, </w:t>
      </w:r>
      <w:proofErr w:type="spellStart"/>
      <w:r w:rsidRPr="00C000B2">
        <w:t>Suneja</w:t>
      </w:r>
      <w:proofErr w:type="spellEnd"/>
      <w:r w:rsidRPr="00C000B2">
        <w:t xml:space="preserve"> G, et al. 2015. Elevated </w:t>
      </w:r>
      <w:r w:rsidR="009278A9">
        <w:t>c</w:t>
      </w:r>
      <w:r w:rsidRPr="00C000B2">
        <w:t>ancer-</w:t>
      </w:r>
      <w:r w:rsidR="009278A9">
        <w:t>s</w:t>
      </w:r>
      <w:r w:rsidRPr="00C000B2">
        <w:t xml:space="preserve">pecific </w:t>
      </w:r>
      <w:r w:rsidR="009278A9">
        <w:t>m</w:t>
      </w:r>
      <w:r w:rsidRPr="00C000B2">
        <w:t xml:space="preserve">ortality </w:t>
      </w:r>
      <w:r w:rsidR="009278A9">
        <w:t>a</w:t>
      </w:r>
      <w:r w:rsidRPr="00C000B2">
        <w:t>mong HIV-</w:t>
      </w:r>
      <w:r w:rsidR="009278A9">
        <w:t>i</w:t>
      </w:r>
      <w:r w:rsidRPr="00C000B2">
        <w:t xml:space="preserve">nfected </w:t>
      </w:r>
      <w:r w:rsidR="009278A9">
        <w:t>p</w:t>
      </w:r>
      <w:r w:rsidRPr="00C000B2">
        <w:t xml:space="preserve">atients in the United States. </w:t>
      </w:r>
      <w:r w:rsidRPr="00C000B2">
        <w:rPr>
          <w:i/>
        </w:rPr>
        <w:t xml:space="preserve">Journal of Clinical Oncology </w:t>
      </w:r>
      <w:r w:rsidRPr="00C000B2">
        <w:t>33(21): 2376</w:t>
      </w:r>
      <w:r w:rsidR="009278A9">
        <w:t>–</w:t>
      </w:r>
      <w:r w:rsidRPr="00C000B2">
        <w:t>83.</w:t>
      </w:r>
    </w:p>
    <w:p w14:paraId="7194786B" w14:textId="77777777" w:rsidR="00EF27EC" w:rsidRPr="00C000B2" w:rsidRDefault="00EF27EC" w:rsidP="00043D21">
      <w:pPr>
        <w:pStyle w:val="References"/>
      </w:pPr>
      <w:r w:rsidRPr="00C000B2">
        <w:t xml:space="preserve">BPAC. 2014. The changing face of </w:t>
      </w:r>
      <w:r w:rsidRPr="00C000B2">
        <w:rPr>
          <w:i/>
        </w:rPr>
        <w:t xml:space="preserve">Helicobacter pylori </w:t>
      </w:r>
      <w:r w:rsidRPr="00C000B2">
        <w:t xml:space="preserve">testing. </w:t>
      </w:r>
      <w:r w:rsidRPr="00C000B2">
        <w:rPr>
          <w:i/>
        </w:rPr>
        <w:t xml:space="preserve">Best Tests </w:t>
      </w:r>
      <w:r w:rsidRPr="00C000B2">
        <w:t xml:space="preserve">23: 20–25. URL: </w:t>
      </w:r>
      <w:hyperlink r:id="rId209" w:history="1">
        <w:r w:rsidR="009278A9" w:rsidRPr="009278A9">
          <w:rPr>
            <w:rStyle w:val="Hyperlink"/>
          </w:rPr>
          <w:t>https://bpac.org.nz/BT/2014/May/docs/BT23-h-pylori.pdf</w:t>
        </w:r>
      </w:hyperlink>
      <w:r w:rsidRPr="00C000B2">
        <w:t xml:space="preserve"> (accessed 27</w:t>
      </w:r>
      <w:r w:rsidR="009278A9">
        <w:t> </w:t>
      </w:r>
      <w:r w:rsidRPr="00C000B2">
        <w:t>October 2021).</w:t>
      </w:r>
    </w:p>
    <w:p w14:paraId="67DC917C" w14:textId="77777777" w:rsidR="00EF27EC" w:rsidRPr="00C000B2" w:rsidRDefault="00EF27EC" w:rsidP="00043D21">
      <w:pPr>
        <w:pStyle w:val="References"/>
      </w:pPr>
      <w:r w:rsidRPr="00C000B2">
        <w:t xml:space="preserve">Baker M, McDonald A, Zhang J, et al. 2013. </w:t>
      </w:r>
      <w:r w:rsidRPr="00C000B2">
        <w:rPr>
          <w:i/>
        </w:rPr>
        <w:t xml:space="preserve">Infectious Diseases Attributable to Household Crowding in New Zealand: A systematic review and burden of disease estimate </w:t>
      </w:r>
      <w:r w:rsidRPr="00C000B2">
        <w:t xml:space="preserve">(vol 1). Wellington: He Kainga </w:t>
      </w:r>
      <w:proofErr w:type="spellStart"/>
      <w:r w:rsidRPr="00C000B2">
        <w:t>Oranga</w:t>
      </w:r>
      <w:proofErr w:type="spellEnd"/>
      <w:r w:rsidRPr="00C000B2">
        <w:t>/ Housing and Health Research.</w:t>
      </w:r>
    </w:p>
    <w:p w14:paraId="13C6428D" w14:textId="77777777" w:rsidR="00EF27EC" w:rsidRPr="00C000B2" w:rsidRDefault="00EF27EC" w:rsidP="00043D21">
      <w:pPr>
        <w:pStyle w:val="References"/>
      </w:pPr>
      <w:r w:rsidRPr="00C000B2">
        <w:t>Ministry of Health. 2019. Sexual and reproductive health: information and resources on sexual and reproductive health</w:t>
      </w:r>
      <w:r w:rsidRPr="00C000B2">
        <w:rPr>
          <w:i/>
        </w:rPr>
        <w:t xml:space="preserve">. </w:t>
      </w:r>
      <w:r w:rsidRPr="00C000B2">
        <w:t xml:space="preserve">URL: </w:t>
      </w:r>
      <w:hyperlink r:id="rId210" w:history="1">
        <w:r w:rsidR="009278A9" w:rsidRPr="009278A9">
          <w:rPr>
            <w:rStyle w:val="Hyperlink"/>
          </w:rPr>
          <w:t>https://www.health.govt.nz/our-work/preventative-health-wellness/sexual-and-reproductive-health</w:t>
        </w:r>
      </w:hyperlink>
      <w:r w:rsidRPr="00C000B2">
        <w:t xml:space="preserve"> (accessed 29 October 2021).</w:t>
      </w:r>
    </w:p>
    <w:p w14:paraId="37F3E268" w14:textId="77777777" w:rsidR="00EF27EC" w:rsidRPr="00C000B2" w:rsidRDefault="00EF27EC" w:rsidP="00043D21">
      <w:pPr>
        <w:pStyle w:val="References"/>
      </w:pPr>
      <w:r w:rsidRPr="00C000B2">
        <w:t xml:space="preserve">Stats NZ. 2021. </w:t>
      </w:r>
      <w:r w:rsidRPr="009278A9">
        <w:rPr>
          <w:i/>
        </w:rPr>
        <w:t xml:space="preserve">Child </w:t>
      </w:r>
      <w:r w:rsidR="009278A9">
        <w:rPr>
          <w:i/>
        </w:rPr>
        <w:t>P</w:t>
      </w:r>
      <w:r w:rsidRPr="009278A9">
        <w:rPr>
          <w:i/>
        </w:rPr>
        <w:t xml:space="preserve">overty </w:t>
      </w:r>
      <w:r w:rsidR="009278A9">
        <w:rPr>
          <w:i/>
        </w:rPr>
        <w:t>S</w:t>
      </w:r>
      <w:r w:rsidRPr="009278A9">
        <w:rPr>
          <w:i/>
        </w:rPr>
        <w:t>tatistics: Year ended June 2020 – corrected</w:t>
      </w:r>
      <w:r w:rsidRPr="00C000B2">
        <w:rPr>
          <w:i/>
        </w:rPr>
        <w:t xml:space="preserve">. </w:t>
      </w:r>
      <w:r w:rsidRPr="00C000B2">
        <w:t xml:space="preserve">URL: </w:t>
      </w:r>
      <w:hyperlink r:id="rId211" w:history="1">
        <w:r w:rsidR="009278A9" w:rsidRPr="009278A9">
          <w:rPr>
            <w:rStyle w:val="Hyperlink"/>
          </w:rPr>
          <w:t>https://www.stats.govt.nz/information-releases/child-poverty-statistics-year-ended-june-2020</w:t>
        </w:r>
      </w:hyperlink>
      <w:r w:rsidRPr="00C000B2">
        <w:t xml:space="preserve"> (accessed 30 October 2021).</w:t>
      </w:r>
    </w:p>
    <w:p w14:paraId="224178B0" w14:textId="77777777" w:rsidR="00EF27EC" w:rsidRPr="00C000B2" w:rsidRDefault="00EF27EC" w:rsidP="00043D21">
      <w:pPr>
        <w:pStyle w:val="References"/>
      </w:pPr>
      <w:r w:rsidRPr="00C000B2">
        <w:t xml:space="preserve">Stats NZ. 2020. </w:t>
      </w:r>
      <w:r w:rsidRPr="009278A9">
        <w:rPr>
          <w:i/>
        </w:rPr>
        <w:t xml:space="preserve">Almost 1 in 9 </w:t>
      </w:r>
      <w:r w:rsidR="009278A9">
        <w:rPr>
          <w:i/>
        </w:rPr>
        <w:t>P</w:t>
      </w:r>
      <w:r w:rsidRPr="009278A9">
        <w:rPr>
          <w:i/>
        </w:rPr>
        <w:t xml:space="preserve">eople </w:t>
      </w:r>
      <w:r w:rsidR="009278A9">
        <w:rPr>
          <w:i/>
        </w:rPr>
        <w:t>L</w:t>
      </w:r>
      <w:r w:rsidRPr="009278A9">
        <w:rPr>
          <w:i/>
        </w:rPr>
        <w:t xml:space="preserve">ive in a </w:t>
      </w:r>
      <w:r w:rsidR="009278A9">
        <w:rPr>
          <w:i/>
        </w:rPr>
        <w:t>C</w:t>
      </w:r>
      <w:r w:rsidRPr="009278A9">
        <w:rPr>
          <w:i/>
        </w:rPr>
        <w:t xml:space="preserve">rowded </w:t>
      </w:r>
      <w:r w:rsidR="009278A9">
        <w:rPr>
          <w:i/>
        </w:rPr>
        <w:t>H</w:t>
      </w:r>
      <w:r w:rsidRPr="009278A9">
        <w:rPr>
          <w:i/>
        </w:rPr>
        <w:t>ouse</w:t>
      </w:r>
      <w:r w:rsidRPr="00C000B2">
        <w:rPr>
          <w:i/>
        </w:rPr>
        <w:t xml:space="preserve">. </w:t>
      </w:r>
      <w:r w:rsidRPr="00C000B2">
        <w:t xml:space="preserve">URL: </w:t>
      </w:r>
      <w:hyperlink r:id="rId212" w:history="1">
        <w:r w:rsidR="009278A9" w:rsidRPr="009278A9">
          <w:rPr>
            <w:rStyle w:val="Hyperlink"/>
          </w:rPr>
          <w:t>http://www.stats.govt.nz/news/almost-1-in-9-people-live-in-a-crowded-house</w:t>
        </w:r>
      </w:hyperlink>
      <w:r w:rsidRPr="00C000B2">
        <w:t xml:space="preserve"> (accessed 28 October 2021).</w:t>
      </w:r>
    </w:p>
    <w:p w14:paraId="44BFC7A9" w14:textId="77777777" w:rsidR="00EF27EC" w:rsidRPr="00C000B2" w:rsidRDefault="00EF27EC" w:rsidP="00043D21">
      <w:pPr>
        <w:pStyle w:val="References"/>
      </w:pPr>
      <w:r w:rsidRPr="00C000B2">
        <w:t xml:space="preserve">Ministry of Health. 2020. </w:t>
      </w:r>
      <w:r w:rsidRPr="00C000B2">
        <w:rPr>
          <w:i/>
        </w:rPr>
        <w:t>Immunisation Handbook</w:t>
      </w:r>
      <w:r w:rsidRPr="00C000B2">
        <w:t>. Wellington: Ministry of Health.</w:t>
      </w:r>
    </w:p>
    <w:p w14:paraId="0C5B826D" w14:textId="77777777" w:rsidR="00EF27EC" w:rsidRPr="00C000B2" w:rsidRDefault="00EF27EC" w:rsidP="00043D21">
      <w:pPr>
        <w:pStyle w:val="References"/>
      </w:pPr>
      <w:r w:rsidRPr="00C000B2">
        <w:t xml:space="preserve">BPAC. 2019. </w:t>
      </w:r>
      <w:r w:rsidRPr="009278A9">
        <w:rPr>
          <w:i/>
        </w:rPr>
        <w:t xml:space="preserve">Testing for </w:t>
      </w:r>
      <w:r w:rsidR="009278A9">
        <w:rPr>
          <w:i/>
        </w:rPr>
        <w:t>Hepatitis C</w:t>
      </w:r>
      <w:r w:rsidRPr="009278A9">
        <w:rPr>
          <w:i/>
        </w:rPr>
        <w:t xml:space="preserve"> </w:t>
      </w:r>
      <w:r w:rsidR="009278A9">
        <w:rPr>
          <w:i/>
        </w:rPr>
        <w:t>V</w:t>
      </w:r>
      <w:r w:rsidRPr="009278A9">
        <w:rPr>
          <w:i/>
        </w:rPr>
        <w:t xml:space="preserve">irus (HCV) in </w:t>
      </w:r>
      <w:r w:rsidR="009278A9">
        <w:rPr>
          <w:i/>
        </w:rPr>
        <w:t>P</w:t>
      </w:r>
      <w:r w:rsidRPr="009278A9">
        <w:rPr>
          <w:i/>
        </w:rPr>
        <w:t xml:space="preserve">atients at </w:t>
      </w:r>
      <w:r w:rsidR="009278A9">
        <w:rPr>
          <w:i/>
        </w:rPr>
        <w:t>H</w:t>
      </w:r>
      <w:r w:rsidRPr="009278A9">
        <w:rPr>
          <w:i/>
        </w:rPr>
        <w:t xml:space="preserve">igh </w:t>
      </w:r>
      <w:r w:rsidR="009278A9">
        <w:rPr>
          <w:i/>
        </w:rPr>
        <w:t>R</w:t>
      </w:r>
      <w:r w:rsidRPr="009278A9">
        <w:rPr>
          <w:i/>
        </w:rPr>
        <w:t xml:space="preserve">isk of </w:t>
      </w:r>
      <w:r w:rsidR="009278A9">
        <w:rPr>
          <w:i/>
        </w:rPr>
        <w:t>I</w:t>
      </w:r>
      <w:r w:rsidRPr="009278A9">
        <w:rPr>
          <w:i/>
        </w:rPr>
        <w:t>nfection</w:t>
      </w:r>
      <w:r w:rsidRPr="00C000B2">
        <w:t xml:space="preserve">. URL: </w:t>
      </w:r>
      <w:hyperlink r:id="rId213" w:history="1">
        <w:r w:rsidR="009278A9" w:rsidRPr="009278A9">
          <w:rPr>
            <w:rStyle w:val="Hyperlink"/>
          </w:rPr>
          <w:t>https://bpac.org.nz/2019/hepc/testing.aspx</w:t>
        </w:r>
      </w:hyperlink>
      <w:r w:rsidRPr="00C000B2">
        <w:t>.</w:t>
      </w:r>
    </w:p>
    <w:p w14:paraId="2DA755E2" w14:textId="77777777" w:rsidR="00EF27EC" w:rsidRPr="00C000B2" w:rsidRDefault="00EF27EC" w:rsidP="00043D21">
      <w:pPr>
        <w:pStyle w:val="References"/>
      </w:pPr>
      <w:r w:rsidRPr="00C000B2">
        <w:t xml:space="preserve">Hassan I, </w:t>
      </w:r>
      <w:proofErr w:type="spellStart"/>
      <w:r w:rsidRPr="00C000B2">
        <w:t>Gane</w:t>
      </w:r>
      <w:proofErr w:type="spellEnd"/>
      <w:r w:rsidRPr="00C000B2">
        <w:t xml:space="preserve"> E. 2019. Improving survival in patients with hepatocellular carcinoma related to chronic </w:t>
      </w:r>
      <w:r w:rsidR="009278A9">
        <w:t>hepatitis C</w:t>
      </w:r>
      <w:r w:rsidRPr="00C000B2">
        <w:t xml:space="preserve"> and B but not in those related to non</w:t>
      </w:r>
      <w:r w:rsidR="009278A9">
        <w:noBreakHyphen/>
      </w:r>
      <w:r w:rsidRPr="00C000B2">
        <w:t xml:space="preserve">alcoholic steatohepatitis or alcoholic liver disease: a 20-year experience from a national programme. </w:t>
      </w:r>
      <w:r w:rsidRPr="00C000B2">
        <w:rPr>
          <w:i/>
        </w:rPr>
        <w:t xml:space="preserve">Internal Medicine Journal </w:t>
      </w:r>
      <w:r w:rsidRPr="00C000B2">
        <w:t>49(11): 1405–11.</w:t>
      </w:r>
    </w:p>
    <w:p w14:paraId="0796811E" w14:textId="77777777" w:rsidR="00EF27EC" w:rsidRPr="00C000B2" w:rsidRDefault="00EF27EC" w:rsidP="00043D21">
      <w:pPr>
        <w:pStyle w:val="References"/>
      </w:pPr>
      <w:r w:rsidRPr="00C000B2">
        <w:t xml:space="preserve">Schweitzer A, Horn J, </w:t>
      </w:r>
      <w:proofErr w:type="spellStart"/>
      <w:r w:rsidRPr="00C000B2">
        <w:t>Mikolajczyk</w:t>
      </w:r>
      <w:proofErr w:type="spellEnd"/>
      <w:r w:rsidRPr="00C000B2">
        <w:t xml:space="preserve"> RT, et al. 2015. Estimations of worldwide prevalence of chronic </w:t>
      </w:r>
      <w:r w:rsidR="009278A9">
        <w:t>hepatitis B</w:t>
      </w:r>
      <w:r w:rsidRPr="00C000B2">
        <w:t xml:space="preserve"> virus infection: a systematic review of data published between 1965 and 2013. </w:t>
      </w:r>
      <w:r w:rsidRPr="00C000B2">
        <w:rPr>
          <w:i/>
        </w:rPr>
        <w:t xml:space="preserve">The Lancet </w:t>
      </w:r>
      <w:r w:rsidRPr="00C000B2">
        <w:t>386(10003): 1546–55.</w:t>
      </w:r>
    </w:p>
    <w:p w14:paraId="33E41059" w14:textId="77777777" w:rsidR="00EF27EC" w:rsidRPr="00C000B2" w:rsidRDefault="00EF27EC" w:rsidP="00043D21">
      <w:pPr>
        <w:pStyle w:val="References"/>
      </w:pPr>
      <w:r w:rsidRPr="00C000B2">
        <w:t xml:space="preserve">Robinson T, Bullen C, Humphries W, et al. 2005. The New Zealand </w:t>
      </w:r>
      <w:r w:rsidR="009278A9">
        <w:t>hepatitis B</w:t>
      </w:r>
      <w:r w:rsidRPr="00C000B2">
        <w:t xml:space="preserve"> </w:t>
      </w:r>
      <w:r w:rsidR="009278A9">
        <w:t>s</w:t>
      </w:r>
      <w:r w:rsidRPr="00C000B2">
        <w:t xml:space="preserve">creening </w:t>
      </w:r>
      <w:r w:rsidR="009278A9">
        <w:t>p</w:t>
      </w:r>
      <w:r w:rsidRPr="00C000B2">
        <w:t xml:space="preserve">rogramme: screening coverage and prevalence of chronic </w:t>
      </w:r>
      <w:r w:rsidR="009278A9">
        <w:t>hepatitis B</w:t>
      </w:r>
      <w:r w:rsidRPr="00C000B2">
        <w:t xml:space="preserve"> infection. </w:t>
      </w:r>
      <w:r w:rsidRPr="00C000B2">
        <w:rPr>
          <w:i/>
        </w:rPr>
        <w:t xml:space="preserve">New Zealand Medical Journal </w:t>
      </w:r>
      <w:r w:rsidRPr="00C000B2">
        <w:t>118: 1–11.</w:t>
      </w:r>
    </w:p>
    <w:p w14:paraId="4F5405DD" w14:textId="77777777" w:rsidR="00EF27EC" w:rsidRPr="00C000B2" w:rsidRDefault="00EF27EC" w:rsidP="009278A9">
      <w:pPr>
        <w:pStyle w:val="References"/>
        <w:keepNext/>
      </w:pPr>
      <w:r w:rsidRPr="00C000B2">
        <w:lastRenderedPageBreak/>
        <w:t xml:space="preserve">Ministry of Health. 2021. </w:t>
      </w:r>
      <w:r w:rsidRPr="00C000B2">
        <w:rPr>
          <w:i/>
        </w:rPr>
        <w:t xml:space="preserve">National </w:t>
      </w:r>
      <w:r w:rsidR="009278A9">
        <w:rPr>
          <w:i/>
        </w:rPr>
        <w:t>Hepatitis C</w:t>
      </w:r>
      <w:r w:rsidRPr="00C000B2">
        <w:rPr>
          <w:i/>
        </w:rPr>
        <w:t xml:space="preserve"> Action Plan for Aotearoa New Zealand – </w:t>
      </w:r>
      <w:proofErr w:type="spellStart"/>
      <w:r w:rsidRPr="00C000B2">
        <w:rPr>
          <w:i/>
        </w:rPr>
        <w:t>Māhere</w:t>
      </w:r>
      <w:proofErr w:type="spellEnd"/>
      <w:r w:rsidRPr="00C000B2">
        <w:rPr>
          <w:i/>
        </w:rPr>
        <w:t xml:space="preserve"> Mahi </w:t>
      </w:r>
      <w:proofErr w:type="spellStart"/>
      <w:r w:rsidRPr="00C000B2">
        <w:rPr>
          <w:i/>
        </w:rPr>
        <w:t>mō</w:t>
      </w:r>
      <w:proofErr w:type="spellEnd"/>
      <w:r w:rsidRPr="00C000B2">
        <w:rPr>
          <w:i/>
        </w:rPr>
        <w:t xml:space="preserve"> </w:t>
      </w:r>
      <w:proofErr w:type="spellStart"/>
      <w:r w:rsidRPr="00C000B2">
        <w:rPr>
          <w:i/>
        </w:rPr>
        <w:t>te</w:t>
      </w:r>
      <w:proofErr w:type="spellEnd"/>
      <w:r w:rsidRPr="00C000B2">
        <w:rPr>
          <w:i/>
        </w:rPr>
        <w:t xml:space="preserve"> Ate </w:t>
      </w:r>
      <w:proofErr w:type="spellStart"/>
      <w:r w:rsidRPr="00C000B2">
        <w:rPr>
          <w:i/>
        </w:rPr>
        <w:t>Kakā</w:t>
      </w:r>
      <w:proofErr w:type="spellEnd"/>
      <w:r w:rsidRPr="00C000B2">
        <w:rPr>
          <w:i/>
        </w:rPr>
        <w:t xml:space="preserve"> C 2020–2030. </w:t>
      </w:r>
      <w:r w:rsidRPr="00C000B2">
        <w:t>Wellington: Ministry of Health.</w:t>
      </w:r>
    </w:p>
    <w:p w14:paraId="6571DFD3" w14:textId="77777777" w:rsidR="00EF27EC" w:rsidRPr="00C000B2" w:rsidRDefault="00EF27EC" w:rsidP="00043D21">
      <w:pPr>
        <w:pStyle w:val="References"/>
      </w:pPr>
      <w:r w:rsidRPr="00C000B2">
        <w:t xml:space="preserve">Hepatitis Foundation of New Zealand. </w:t>
      </w:r>
      <w:proofErr w:type="spellStart"/>
      <w:r w:rsidRPr="00C000B2">
        <w:t>nd</w:t>
      </w:r>
      <w:proofErr w:type="spellEnd"/>
      <w:r w:rsidRPr="00C000B2">
        <w:t xml:space="preserve">. </w:t>
      </w:r>
      <w:r w:rsidR="009278A9" w:rsidRPr="009278A9">
        <w:rPr>
          <w:i/>
        </w:rPr>
        <w:t>Hepatitis B</w:t>
      </w:r>
      <w:r w:rsidRPr="00C000B2">
        <w:t xml:space="preserve">. URL: </w:t>
      </w:r>
      <w:hyperlink r:id="rId214" w:history="1">
        <w:r w:rsidR="009278A9" w:rsidRPr="009278A9">
          <w:rPr>
            <w:rStyle w:val="Hyperlink"/>
          </w:rPr>
          <w:t>https://www.hepatitisfoundation.org.nz/hepatitis/hepatitis-b</w:t>
        </w:r>
      </w:hyperlink>
      <w:r w:rsidRPr="00C000B2">
        <w:t xml:space="preserve"> (accessed 28</w:t>
      </w:r>
      <w:r w:rsidR="009278A9">
        <w:t> </w:t>
      </w:r>
      <w:r w:rsidRPr="00C000B2">
        <w:t>October 2021).</w:t>
      </w:r>
    </w:p>
    <w:p w14:paraId="5CA49B1C" w14:textId="77777777" w:rsidR="00EF27EC" w:rsidRPr="00C000B2" w:rsidRDefault="00EF27EC" w:rsidP="00043D21">
      <w:pPr>
        <w:pStyle w:val="References"/>
      </w:pPr>
      <w:r w:rsidRPr="00C000B2">
        <w:t>Dickson N, Lee B, Foster T, et al. 2015. The first 30 years of HIV in New Zealand: Review of the epidemiology.</w:t>
      </w:r>
      <w:r w:rsidR="009278A9">
        <w:t xml:space="preserve"> </w:t>
      </w:r>
      <w:r w:rsidRPr="009278A9">
        <w:rPr>
          <w:i/>
        </w:rPr>
        <w:t xml:space="preserve">The New Zealand Medical Journal </w:t>
      </w:r>
      <w:r w:rsidRPr="00C000B2">
        <w:t>128(1426): 31</w:t>
      </w:r>
      <w:r w:rsidR="009278A9">
        <w:t>–</w:t>
      </w:r>
      <w:r w:rsidRPr="00C000B2">
        <w:t>48.</w:t>
      </w:r>
    </w:p>
    <w:p w14:paraId="31DF6BDF" w14:textId="77777777" w:rsidR="00EF27EC" w:rsidRPr="00C000B2" w:rsidRDefault="00EF27EC" w:rsidP="00043D21">
      <w:pPr>
        <w:pStyle w:val="References"/>
      </w:pPr>
      <w:r w:rsidRPr="00C000B2">
        <w:t xml:space="preserve">Saxton PJW, Dickson NP, Griffiths R, et al. 2012. Actual and undiagnosed HIV prevalence in a community sample of men who have sex with men in Auckland, New Zealand. </w:t>
      </w:r>
      <w:r w:rsidRPr="00C000B2">
        <w:rPr>
          <w:i/>
        </w:rPr>
        <w:t xml:space="preserve">BMC Public Health </w:t>
      </w:r>
      <w:r w:rsidRPr="00C000B2">
        <w:t>12(1): 92.</w:t>
      </w:r>
    </w:p>
    <w:p w14:paraId="633A16A9" w14:textId="77777777" w:rsidR="00EF27EC" w:rsidRPr="00C000B2" w:rsidRDefault="00EF27EC" w:rsidP="00043D21">
      <w:pPr>
        <w:pStyle w:val="References"/>
      </w:pPr>
      <w:r w:rsidRPr="00C000B2">
        <w:t xml:space="preserve">AIDS Epidemiology Group. 2021. </w:t>
      </w:r>
      <w:r w:rsidRPr="009278A9">
        <w:rPr>
          <w:i/>
        </w:rPr>
        <w:t xml:space="preserve">AIDS </w:t>
      </w:r>
      <w:r w:rsidR="009278A9" w:rsidRPr="009278A9">
        <w:rPr>
          <w:i/>
        </w:rPr>
        <w:t>–</w:t>
      </w:r>
      <w:r w:rsidRPr="009278A9">
        <w:rPr>
          <w:i/>
        </w:rPr>
        <w:t xml:space="preserve"> New Zealand, May 2021</w:t>
      </w:r>
      <w:r w:rsidRPr="00C000B2">
        <w:t xml:space="preserve">. Dunedin: University of Otago. URL: </w:t>
      </w:r>
      <w:r w:rsidRPr="009278A9">
        <w:rPr>
          <w:rStyle w:val="Hyperlink"/>
        </w:rPr>
        <w:t>https://</w:t>
      </w:r>
      <w:hyperlink r:id="rId215">
        <w:r w:rsidRPr="009278A9">
          <w:rPr>
            <w:rStyle w:val="Hyperlink"/>
          </w:rPr>
          <w:t xml:space="preserve">www.otago.ac.nz/aidsepigroup/otago827752.pdf </w:t>
        </w:r>
      </w:hyperlink>
      <w:r w:rsidRPr="00C000B2">
        <w:t>(accessed 14</w:t>
      </w:r>
      <w:r w:rsidR="009278A9">
        <w:t> </w:t>
      </w:r>
      <w:r w:rsidRPr="00C000B2">
        <w:t>January 2022)</w:t>
      </w:r>
      <w:r w:rsidR="009278A9">
        <w:t>.</w:t>
      </w:r>
    </w:p>
    <w:p w14:paraId="46844AA1" w14:textId="77777777" w:rsidR="00EF27EC" w:rsidRPr="00C000B2" w:rsidRDefault="00EF27EC" w:rsidP="00043D21">
      <w:pPr>
        <w:pStyle w:val="References"/>
      </w:pPr>
      <w:r w:rsidRPr="00C000B2">
        <w:t xml:space="preserve">WHO. 2021. </w:t>
      </w:r>
      <w:r w:rsidRPr="00C000B2">
        <w:rPr>
          <w:i/>
        </w:rPr>
        <w:t xml:space="preserve">HIV/AIDS. </w:t>
      </w:r>
      <w:r w:rsidRPr="00C000B2">
        <w:t xml:space="preserve">URL: </w:t>
      </w:r>
      <w:r w:rsidRPr="009278A9">
        <w:rPr>
          <w:rStyle w:val="Hyperlink"/>
        </w:rPr>
        <w:t>https://</w:t>
      </w:r>
      <w:hyperlink r:id="rId216">
        <w:r w:rsidRPr="009278A9">
          <w:rPr>
            <w:rStyle w:val="Hyperlink"/>
          </w:rPr>
          <w:t xml:space="preserve">www.who.int/news-room/fact-sheets/detail/hiv-aids </w:t>
        </w:r>
      </w:hyperlink>
      <w:r w:rsidRPr="00C000B2">
        <w:t>(accessed 14 January 2022).</w:t>
      </w:r>
    </w:p>
    <w:p w14:paraId="5C2FD848" w14:textId="77777777" w:rsidR="00EF27EC" w:rsidRPr="00C000B2" w:rsidRDefault="00EF27EC" w:rsidP="00043D21">
      <w:pPr>
        <w:pStyle w:val="References"/>
      </w:pPr>
      <w:r w:rsidRPr="00C000B2">
        <w:t xml:space="preserve">WHO. 2016. </w:t>
      </w:r>
      <w:r w:rsidRPr="00C000B2">
        <w:rPr>
          <w:i/>
        </w:rPr>
        <w:t xml:space="preserve">Global Health Sector Strategy on Viral Hepatitis 2016–2021. Towards ending viral hepatitis. </w:t>
      </w:r>
      <w:r w:rsidRPr="00C000B2">
        <w:t xml:space="preserve">Geneva: World Health Organization. URL: </w:t>
      </w:r>
      <w:hyperlink r:id="rId217" w:history="1">
        <w:r w:rsidR="009278A9" w:rsidRPr="009278A9">
          <w:rPr>
            <w:rStyle w:val="Hyperlink"/>
          </w:rPr>
          <w:t>https://apps.who.int/iris/handle/10665/246177</w:t>
        </w:r>
      </w:hyperlink>
      <w:r w:rsidRPr="00C000B2">
        <w:t xml:space="preserve"> (accessed 30 October 2021).</w:t>
      </w:r>
    </w:p>
    <w:p w14:paraId="32891B2C" w14:textId="77777777" w:rsidR="00EF27EC" w:rsidRPr="00C000B2" w:rsidRDefault="00EF27EC" w:rsidP="00043D21">
      <w:pPr>
        <w:pStyle w:val="References"/>
      </w:pPr>
      <w:r w:rsidRPr="00C000B2">
        <w:t xml:space="preserve">National Screening Unit. 2021. HPV primary screening. URL: </w:t>
      </w:r>
      <w:hyperlink r:id="rId218" w:history="1">
        <w:r w:rsidR="009278A9" w:rsidRPr="009278A9">
          <w:rPr>
            <w:rStyle w:val="Hyperlink"/>
          </w:rPr>
          <w:t>https://www.nsu.govt.nz/health-professionals/national-cervical-screening-programme/hpv-primary-screening</w:t>
        </w:r>
      </w:hyperlink>
      <w:r w:rsidRPr="00C000B2">
        <w:t xml:space="preserve"> (accessed 30 October 2021).</w:t>
      </w:r>
    </w:p>
    <w:p w14:paraId="50E438BB" w14:textId="77777777" w:rsidR="00EF27EC" w:rsidRPr="00C000B2" w:rsidRDefault="00EF27EC" w:rsidP="00043D21">
      <w:pPr>
        <w:pStyle w:val="References"/>
      </w:pPr>
      <w:r w:rsidRPr="00C000B2">
        <w:t xml:space="preserve">WHO. 2020. </w:t>
      </w:r>
      <w:r w:rsidRPr="00C000B2">
        <w:rPr>
          <w:i/>
        </w:rPr>
        <w:t>Launch of the Global Strategy to Accelerate the Elimination of Cervical Cancer</w:t>
      </w:r>
      <w:r w:rsidRPr="00C000B2">
        <w:t xml:space="preserve">. World Health Organization. URL: </w:t>
      </w:r>
      <w:hyperlink r:id="rId219" w:history="1">
        <w:r w:rsidR="009278A9" w:rsidRPr="009278A9">
          <w:rPr>
            <w:rStyle w:val="Hyperlink"/>
          </w:rPr>
          <w:t>https://www.who.int/news-room/events/detail/2020/11/17/default-calendar/launch-of-the-global-strategy-to-accelerate-the-elimination-of-cervical-cancer</w:t>
        </w:r>
      </w:hyperlink>
      <w:r w:rsidRPr="00C000B2">
        <w:t xml:space="preserve"> (accessed 1 November 2021).</w:t>
      </w:r>
    </w:p>
    <w:p w14:paraId="5E613E4A" w14:textId="77777777" w:rsidR="00EF27EC" w:rsidRPr="00C000B2" w:rsidRDefault="00EF27EC" w:rsidP="00043D21">
      <w:pPr>
        <w:pStyle w:val="References"/>
      </w:pPr>
      <w:r w:rsidRPr="00C000B2">
        <w:t xml:space="preserve">WHO. 2018. </w:t>
      </w:r>
      <w:r w:rsidRPr="00C000B2">
        <w:rPr>
          <w:i/>
        </w:rPr>
        <w:t xml:space="preserve">WHO Housing and Health Guidelines. </w:t>
      </w:r>
      <w:r w:rsidRPr="00C000B2">
        <w:t xml:space="preserve">Geneva: World Health Organization. URL: </w:t>
      </w:r>
      <w:hyperlink r:id="rId220" w:history="1">
        <w:r w:rsidR="009278A9" w:rsidRPr="009278A9">
          <w:rPr>
            <w:rStyle w:val="Hyperlink"/>
          </w:rPr>
          <w:t>https://apps.who.int/iris/bitstream/handle/10665/276001/9789241550376-eng.pdf</w:t>
        </w:r>
      </w:hyperlink>
      <w:r w:rsidRPr="00C000B2">
        <w:t xml:space="preserve"> (accessed 30 October 2021).</w:t>
      </w:r>
    </w:p>
    <w:p w14:paraId="539F8D59" w14:textId="77777777" w:rsidR="00EF27EC" w:rsidRPr="00C000B2" w:rsidRDefault="00EF27EC" w:rsidP="00043D21">
      <w:pPr>
        <w:pStyle w:val="References"/>
      </w:pPr>
      <w:r w:rsidRPr="00C000B2">
        <w:t xml:space="preserve">Mitchell H, </w:t>
      </w:r>
      <w:proofErr w:type="spellStart"/>
      <w:r w:rsidRPr="00C000B2">
        <w:t>Katelaris</w:t>
      </w:r>
      <w:proofErr w:type="spellEnd"/>
      <w:r w:rsidRPr="00C000B2">
        <w:t xml:space="preserve"> P. 2016. Epidemiology, clinical </w:t>
      </w:r>
      <w:proofErr w:type="gramStart"/>
      <w:r w:rsidRPr="00C000B2">
        <w:t>impacts</w:t>
      </w:r>
      <w:proofErr w:type="gramEnd"/>
      <w:r w:rsidRPr="00C000B2">
        <w:t xml:space="preserve"> and current clinical management of</w:t>
      </w:r>
      <w:r w:rsidR="009278A9">
        <w:t xml:space="preserve"> </w:t>
      </w:r>
      <w:r w:rsidRPr="009278A9">
        <w:rPr>
          <w:i/>
        </w:rPr>
        <w:t xml:space="preserve">Helicobacter pylori </w:t>
      </w:r>
      <w:r w:rsidRPr="00C000B2">
        <w:t xml:space="preserve">infection. </w:t>
      </w:r>
      <w:r w:rsidRPr="009278A9">
        <w:rPr>
          <w:i/>
        </w:rPr>
        <w:t xml:space="preserve">The Medical Journal of Australia </w:t>
      </w:r>
      <w:r w:rsidRPr="00C000B2">
        <w:t>204(10): 376–80.</w:t>
      </w:r>
    </w:p>
    <w:p w14:paraId="2AFE81D3" w14:textId="77777777" w:rsidR="00EF27EC" w:rsidRPr="00C000B2" w:rsidRDefault="00EF27EC" w:rsidP="00043D21">
      <w:pPr>
        <w:pStyle w:val="References"/>
      </w:pPr>
      <w:r w:rsidRPr="00C000B2">
        <w:t xml:space="preserve">Herrero R, Park JY, Forman D. 2014. The fight against gastric cancer – the IARC Working Group report. </w:t>
      </w:r>
      <w:r w:rsidRPr="00C000B2">
        <w:rPr>
          <w:i/>
        </w:rPr>
        <w:t xml:space="preserve">Best Practice &amp; Research: Clinical Gastroenterology </w:t>
      </w:r>
      <w:r w:rsidRPr="00C000B2">
        <w:t>28(6):</w:t>
      </w:r>
      <w:r w:rsidR="009278A9">
        <w:t> </w:t>
      </w:r>
      <w:r w:rsidRPr="00C000B2">
        <w:t>1107–14.</w:t>
      </w:r>
    </w:p>
    <w:p w14:paraId="00C7441D" w14:textId="77777777" w:rsidR="00EF27EC" w:rsidRPr="00C000B2" w:rsidRDefault="00EF27EC" w:rsidP="009278A9">
      <w:pPr>
        <w:pStyle w:val="References"/>
      </w:pPr>
      <w:r w:rsidRPr="00C000B2">
        <w:t xml:space="preserve">Duncanson M, Richardson G, </w:t>
      </w:r>
      <w:proofErr w:type="spellStart"/>
      <w:r w:rsidRPr="00C000B2">
        <w:t>Oben</w:t>
      </w:r>
      <w:proofErr w:type="spellEnd"/>
      <w:r w:rsidRPr="00C000B2">
        <w:t xml:space="preserve"> G, et al. 2020. </w:t>
      </w:r>
      <w:r w:rsidRPr="00C000B2">
        <w:rPr>
          <w:i/>
        </w:rPr>
        <w:t xml:space="preserve">Child Poverty Monitor 2020. </w:t>
      </w:r>
      <w:r w:rsidRPr="00C000B2">
        <w:t xml:space="preserve">Dunedin: University of Otago. URL: </w:t>
      </w:r>
      <w:hyperlink r:id="rId221">
        <w:r w:rsidR="009278A9" w:rsidRPr="009278A9">
          <w:rPr>
            <w:rStyle w:val="Hyperlink"/>
          </w:rPr>
          <w:t>http://www.nzchildren.co.nz/</w:t>
        </w:r>
        <w:r w:rsidRPr="00C000B2">
          <w:t xml:space="preserve"> </w:t>
        </w:r>
      </w:hyperlink>
      <w:r w:rsidRPr="00C000B2">
        <w:t>(accessed 29</w:t>
      </w:r>
      <w:r w:rsidR="009278A9">
        <w:t> </w:t>
      </w:r>
      <w:r w:rsidRPr="00C000B2">
        <w:t>October 2021).</w:t>
      </w:r>
    </w:p>
    <w:p w14:paraId="778CB272" w14:textId="77777777" w:rsidR="00EF27EC" w:rsidRPr="00C000B2" w:rsidRDefault="00EF27EC" w:rsidP="00043D21">
      <w:pPr>
        <w:pStyle w:val="References"/>
      </w:pPr>
      <w:r w:rsidRPr="00C000B2">
        <w:t xml:space="preserve">Fraser AG, Scragg R, Metcalf P, et al. 1996. Prevalence of </w:t>
      </w:r>
      <w:r w:rsidRPr="009278A9">
        <w:rPr>
          <w:i/>
        </w:rPr>
        <w:t>Helicobacter pylori</w:t>
      </w:r>
      <w:r w:rsidRPr="00C000B2">
        <w:t xml:space="preserve"> infection in different ethnic groups in New Zealand children and adults. </w:t>
      </w:r>
      <w:r w:rsidRPr="00C000B2">
        <w:rPr>
          <w:i/>
        </w:rPr>
        <w:t xml:space="preserve">Australian and New Zealand Journal of Medicine </w:t>
      </w:r>
      <w:r w:rsidRPr="00C000B2">
        <w:t>26(5): 646</w:t>
      </w:r>
      <w:r w:rsidR="009278A9">
        <w:t>–</w:t>
      </w:r>
      <w:r w:rsidRPr="00C000B2">
        <w:t>51.</w:t>
      </w:r>
    </w:p>
    <w:p w14:paraId="6BA6BC2B" w14:textId="77777777" w:rsidR="00EF27EC" w:rsidRPr="00C000B2" w:rsidRDefault="00EF27EC" w:rsidP="00043D21">
      <w:pPr>
        <w:pStyle w:val="References"/>
      </w:pPr>
      <w:r w:rsidRPr="00C000B2">
        <w:lastRenderedPageBreak/>
        <w:t xml:space="preserve">Krueger W, </w:t>
      </w:r>
      <w:proofErr w:type="spellStart"/>
      <w:r w:rsidRPr="00C000B2">
        <w:t>Hilborn</w:t>
      </w:r>
      <w:proofErr w:type="spellEnd"/>
      <w:r w:rsidRPr="00C000B2">
        <w:t xml:space="preserve"> E, Converse R, et al. 2015. Environmental risk factors associated with </w:t>
      </w:r>
      <w:r w:rsidRPr="00C000B2">
        <w:rPr>
          <w:i/>
        </w:rPr>
        <w:t xml:space="preserve">Helicobacter pylori </w:t>
      </w:r>
      <w:r w:rsidRPr="00C000B2">
        <w:t xml:space="preserve">seroprevalence in the United States: a cross-sectional analysis of NHANES data. </w:t>
      </w:r>
      <w:r w:rsidRPr="00C000B2">
        <w:rPr>
          <w:i/>
        </w:rPr>
        <w:t xml:space="preserve">Epidemiology &amp; Infection </w:t>
      </w:r>
      <w:r w:rsidRPr="00C000B2">
        <w:t>143(12): 2520–31.</w:t>
      </w:r>
    </w:p>
    <w:p w14:paraId="768DB3A1" w14:textId="77777777" w:rsidR="00EF27EC" w:rsidRPr="00C000B2" w:rsidRDefault="00EF27EC" w:rsidP="00043D21">
      <w:pPr>
        <w:pStyle w:val="References"/>
      </w:pPr>
      <w:r w:rsidRPr="00C000B2">
        <w:t xml:space="preserve">Pierse N, White M, Riggs L. 2019. </w:t>
      </w:r>
      <w:r w:rsidRPr="00C000B2">
        <w:rPr>
          <w:i/>
        </w:rPr>
        <w:t xml:space="preserve">Healthy Homes Initiative Outcomes Evaluation Service: Initial analysis of health outcomes (Interim Report). </w:t>
      </w:r>
      <w:r w:rsidRPr="00C000B2">
        <w:t>Wellington: Ministry of Health.</w:t>
      </w:r>
    </w:p>
    <w:p w14:paraId="35312AFD" w14:textId="77777777" w:rsidR="00EF27EC" w:rsidRPr="00C000B2" w:rsidRDefault="00EF27EC" w:rsidP="00043D21">
      <w:pPr>
        <w:pStyle w:val="References"/>
      </w:pPr>
      <w:r w:rsidRPr="00C000B2">
        <w:t xml:space="preserve">ESR. 2020. </w:t>
      </w:r>
      <w:r w:rsidRPr="00C000B2">
        <w:rPr>
          <w:i/>
        </w:rPr>
        <w:t>Notifiable Diseases in New Zealand: Annual Report 2018</w:t>
      </w:r>
      <w:r w:rsidRPr="00C000B2">
        <w:t xml:space="preserve">. Porirua: Institute of Environmental Science and Research Ltd. URL: </w:t>
      </w:r>
      <w:hyperlink r:id="rId222" w:history="1">
        <w:r w:rsidR="009278A9" w:rsidRPr="009278A9">
          <w:rPr>
            <w:rStyle w:val="Hyperlink"/>
          </w:rPr>
          <w:t>https://surv.esr.cri.nz/PDF_surveillance/AnnualRpt/AnnualSurv/2018/2018AnnualNDReport_FINAL.pdf</w:t>
        </w:r>
      </w:hyperlink>
      <w:r w:rsidR="009278A9">
        <w:t xml:space="preserve"> </w:t>
      </w:r>
      <w:r w:rsidRPr="00C000B2">
        <w:t>(accessed 28 October 2021).</w:t>
      </w:r>
    </w:p>
    <w:p w14:paraId="3A4AFD5C" w14:textId="77777777" w:rsidR="00EF27EC" w:rsidRPr="00C000B2" w:rsidRDefault="00EF27EC" w:rsidP="00043D21">
      <w:pPr>
        <w:pStyle w:val="References"/>
      </w:pPr>
      <w:r w:rsidRPr="00C000B2">
        <w:t xml:space="preserve">Ogunremi T, </w:t>
      </w:r>
      <w:proofErr w:type="spellStart"/>
      <w:r w:rsidRPr="00C000B2">
        <w:t>Defalco</w:t>
      </w:r>
      <w:proofErr w:type="spellEnd"/>
      <w:r w:rsidRPr="00C000B2">
        <w:t xml:space="preserve"> K, Johnston B, et al. 2019. Preventing healthcare transmission of bloodborne viruses.</w:t>
      </w:r>
      <w:r w:rsidR="009278A9">
        <w:t xml:space="preserve"> </w:t>
      </w:r>
      <w:r w:rsidRPr="009278A9">
        <w:rPr>
          <w:i/>
        </w:rPr>
        <w:t xml:space="preserve">Canada Communicable Disease Report </w:t>
      </w:r>
      <w:r w:rsidRPr="00C000B2">
        <w:t>45: 12.</w:t>
      </w:r>
    </w:p>
    <w:p w14:paraId="69E676E7" w14:textId="77777777" w:rsidR="00EF27EC" w:rsidRPr="00C000B2" w:rsidRDefault="00EF27EC" w:rsidP="00043D21">
      <w:pPr>
        <w:pStyle w:val="References"/>
      </w:pPr>
      <w:r w:rsidRPr="00C000B2">
        <w:t xml:space="preserve">Jafari S, Copes R, </w:t>
      </w:r>
      <w:proofErr w:type="spellStart"/>
      <w:r w:rsidRPr="00C000B2">
        <w:t>Baharlou</w:t>
      </w:r>
      <w:proofErr w:type="spellEnd"/>
      <w:r w:rsidRPr="00C000B2">
        <w:t xml:space="preserve"> S, et al. 2010. Tattooing and the risk of transmission of </w:t>
      </w:r>
      <w:r w:rsidR="009278A9">
        <w:t>hepatitis C</w:t>
      </w:r>
      <w:r w:rsidRPr="00C000B2">
        <w:t xml:space="preserve">: a systematic review and meta-analysis. </w:t>
      </w:r>
      <w:r w:rsidRPr="00C000B2">
        <w:rPr>
          <w:i/>
        </w:rPr>
        <w:t xml:space="preserve">International Journal of Infectious Diseases </w:t>
      </w:r>
      <w:r w:rsidRPr="00C000B2">
        <w:t>14(11)</w:t>
      </w:r>
      <w:r w:rsidR="009278A9">
        <w:t>:</w:t>
      </w:r>
      <w:r w:rsidRPr="00C000B2">
        <w:t xml:space="preserve"> e928</w:t>
      </w:r>
      <w:r w:rsidR="009278A9">
        <w:t>–</w:t>
      </w:r>
      <w:r w:rsidRPr="00C000B2">
        <w:t>40.</w:t>
      </w:r>
    </w:p>
    <w:p w14:paraId="496C7CDF" w14:textId="77777777" w:rsidR="00EF27EC" w:rsidRPr="00C000B2" w:rsidRDefault="00EF27EC" w:rsidP="00043D21">
      <w:pPr>
        <w:pStyle w:val="References"/>
      </w:pPr>
      <w:r w:rsidRPr="00C000B2">
        <w:t xml:space="preserve">Jafari S, Buxton JA, Afshar K, et al. 2012. Tattooing and risk of </w:t>
      </w:r>
      <w:r w:rsidR="009278A9">
        <w:t>hepatitis B</w:t>
      </w:r>
      <w:r w:rsidRPr="00C000B2">
        <w:t xml:space="preserve">: a systematic review and meta-analysis. </w:t>
      </w:r>
      <w:r w:rsidRPr="00C000B2">
        <w:rPr>
          <w:i/>
        </w:rPr>
        <w:t xml:space="preserve">Canadian Journal of Public Health </w:t>
      </w:r>
      <w:r w:rsidRPr="00C000B2">
        <w:t>103(3):</w:t>
      </w:r>
      <w:r w:rsidR="009278A9">
        <w:t> </w:t>
      </w:r>
      <w:r w:rsidRPr="00C000B2">
        <w:t>207–12.</w:t>
      </w:r>
    </w:p>
    <w:p w14:paraId="61FF41A3" w14:textId="77777777" w:rsidR="00EF27EC" w:rsidRPr="00C000B2" w:rsidRDefault="00EF27EC" w:rsidP="00043D21">
      <w:pPr>
        <w:pStyle w:val="References"/>
      </w:pPr>
      <w:proofErr w:type="spellStart"/>
      <w:r w:rsidRPr="00C000B2">
        <w:t>Khodadost</w:t>
      </w:r>
      <w:proofErr w:type="spellEnd"/>
      <w:r w:rsidRPr="00C000B2">
        <w:t xml:space="preserve"> M, </w:t>
      </w:r>
      <w:proofErr w:type="spellStart"/>
      <w:r w:rsidRPr="00C000B2">
        <w:t>Maajani</w:t>
      </w:r>
      <w:proofErr w:type="spellEnd"/>
      <w:r w:rsidRPr="00C000B2">
        <w:t xml:space="preserve"> K, </w:t>
      </w:r>
      <w:proofErr w:type="spellStart"/>
      <w:r w:rsidRPr="00C000B2">
        <w:t>Arabsalmani</w:t>
      </w:r>
      <w:proofErr w:type="spellEnd"/>
      <w:r w:rsidRPr="00C000B2">
        <w:t xml:space="preserve"> M, et al. 2017. Is tattooing a risk factor for hepatitis c transmission? An updated systematic review and meta-analysis. </w:t>
      </w:r>
      <w:r w:rsidRPr="00C000B2">
        <w:rPr>
          <w:i/>
        </w:rPr>
        <w:t xml:space="preserve">Hepatitis Monthly </w:t>
      </w:r>
      <w:r w:rsidRPr="00C000B2">
        <w:t>17(9).</w:t>
      </w:r>
    </w:p>
    <w:p w14:paraId="1886071F" w14:textId="77777777" w:rsidR="00EF27EC" w:rsidRPr="00C000B2" w:rsidRDefault="00EF27EC" w:rsidP="00043D21">
      <w:pPr>
        <w:pStyle w:val="References"/>
      </w:pPr>
      <w:proofErr w:type="spellStart"/>
      <w:r w:rsidRPr="00C000B2">
        <w:t>Pouget</w:t>
      </w:r>
      <w:proofErr w:type="spellEnd"/>
      <w:r w:rsidRPr="00C000B2">
        <w:t xml:space="preserve"> ER, Hagan H, Des </w:t>
      </w:r>
      <w:proofErr w:type="spellStart"/>
      <w:r w:rsidRPr="00C000B2">
        <w:t>Jarlais</w:t>
      </w:r>
      <w:proofErr w:type="spellEnd"/>
      <w:r w:rsidRPr="00C000B2">
        <w:t xml:space="preserve"> DC. 2012. Meta-analysis of </w:t>
      </w:r>
      <w:r w:rsidR="009278A9">
        <w:t>hepatitis C</w:t>
      </w:r>
      <w:r w:rsidRPr="00C000B2">
        <w:t xml:space="preserve"> seroconversion in relation to shared syringes and drug preparation equipment. </w:t>
      </w:r>
      <w:r w:rsidRPr="00C000B2">
        <w:rPr>
          <w:i/>
        </w:rPr>
        <w:t xml:space="preserve">Addiction </w:t>
      </w:r>
      <w:r w:rsidRPr="00C000B2">
        <w:t>107(6): 1057–65.</w:t>
      </w:r>
    </w:p>
    <w:p w14:paraId="68CC023B" w14:textId="77777777" w:rsidR="00EF27EC" w:rsidRPr="00C000B2" w:rsidRDefault="00EF27EC" w:rsidP="00043D21">
      <w:pPr>
        <w:pStyle w:val="References"/>
      </w:pPr>
      <w:r w:rsidRPr="00C000B2">
        <w:t xml:space="preserve">Pierce Campbell CM, Lin HY, </w:t>
      </w:r>
      <w:proofErr w:type="spellStart"/>
      <w:r w:rsidRPr="00C000B2">
        <w:t>Fulp</w:t>
      </w:r>
      <w:proofErr w:type="spellEnd"/>
      <w:r w:rsidRPr="00C000B2">
        <w:t xml:space="preserve"> W, et al. 2013. Consistent condom use reduces the genital human papillomavirus burden among high-risk men: the HPV infection in men study. </w:t>
      </w:r>
      <w:r w:rsidRPr="00C000B2">
        <w:rPr>
          <w:i/>
        </w:rPr>
        <w:t xml:space="preserve">The Journal of Infectious Diseases </w:t>
      </w:r>
      <w:r w:rsidRPr="00C000B2">
        <w:t>208(3): 373–84.</w:t>
      </w:r>
    </w:p>
    <w:p w14:paraId="757E86B2" w14:textId="77777777" w:rsidR="00EF27EC" w:rsidRPr="00C000B2" w:rsidRDefault="00EF27EC" w:rsidP="00043D21">
      <w:pPr>
        <w:pStyle w:val="References"/>
      </w:pPr>
      <w:r w:rsidRPr="00C000B2">
        <w:t xml:space="preserve">Lam JUH, </w:t>
      </w:r>
      <w:proofErr w:type="spellStart"/>
      <w:r w:rsidRPr="00C000B2">
        <w:t>Rebolj</w:t>
      </w:r>
      <w:proofErr w:type="spellEnd"/>
      <w:r w:rsidRPr="00C000B2">
        <w:t xml:space="preserve"> M, </w:t>
      </w:r>
      <w:proofErr w:type="spellStart"/>
      <w:r w:rsidRPr="00C000B2">
        <w:t>Dugue</w:t>
      </w:r>
      <w:proofErr w:type="spellEnd"/>
      <w:r w:rsidRPr="00C000B2">
        <w:t xml:space="preserve"> PA, et al. 2014. Condom use in prevention of Human Papillomavirus infections and cervical neoplasia: systematic review of longitudinal studies. </w:t>
      </w:r>
      <w:r w:rsidRPr="00C000B2">
        <w:rPr>
          <w:i/>
        </w:rPr>
        <w:t xml:space="preserve">Journal of Medical Screening </w:t>
      </w:r>
      <w:r w:rsidRPr="00C000B2">
        <w:t>21(1): 38–50.</w:t>
      </w:r>
    </w:p>
    <w:p w14:paraId="12023EC5" w14:textId="77777777" w:rsidR="00EF27EC" w:rsidRPr="00C000B2" w:rsidRDefault="00EF27EC" w:rsidP="00043D21">
      <w:pPr>
        <w:pStyle w:val="References"/>
      </w:pPr>
      <w:r w:rsidRPr="00C000B2">
        <w:t xml:space="preserve">Bernabe-Ortiz A, </w:t>
      </w:r>
      <w:proofErr w:type="spellStart"/>
      <w:r w:rsidRPr="00C000B2">
        <w:t>Carcamo</w:t>
      </w:r>
      <w:proofErr w:type="spellEnd"/>
      <w:r w:rsidRPr="00C000B2">
        <w:t xml:space="preserve"> CP, Scott JD, et al. 2011. HBV infection in relation to consistent condom use: a population-based study in Peru. </w:t>
      </w:r>
      <w:proofErr w:type="spellStart"/>
      <w:r w:rsidRPr="00C000B2">
        <w:rPr>
          <w:i/>
        </w:rPr>
        <w:t>PloS</w:t>
      </w:r>
      <w:proofErr w:type="spellEnd"/>
      <w:r w:rsidRPr="00C000B2">
        <w:rPr>
          <w:i/>
        </w:rPr>
        <w:t xml:space="preserve"> one </w:t>
      </w:r>
      <w:r w:rsidRPr="00C000B2">
        <w:t>6(9): e24721-e.</w:t>
      </w:r>
    </w:p>
    <w:p w14:paraId="7B2ED8D0" w14:textId="77777777" w:rsidR="00EF27EC" w:rsidRPr="00C000B2" w:rsidRDefault="00EF27EC" w:rsidP="00043D21">
      <w:pPr>
        <w:pStyle w:val="References"/>
      </w:pPr>
      <w:r w:rsidRPr="00C000B2">
        <w:t xml:space="preserve">UNAIDS. 2004. </w:t>
      </w:r>
      <w:r w:rsidRPr="00233D86">
        <w:rPr>
          <w:i/>
        </w:rPr>
        <w:t xml:space="preserve">Making </w:t>
      </w:r>
      <w:r w:rsidR="00233D86" w:rsidRPr="00233D86">
        <w:rPr>
          <w:i/>
        </w:rPr>
        <w:t>C</w:t>
      </w:r>
      <w:r w:rsidRPr="00233D86">
        <w:rPr>
          <w:i/>
        </w:rPr>
        <w:t xml:space="preserve">ondoms </w:t>
      </w:r>
      <w:r w:rsidR="00233D86" w:rsidRPr="00233D86">
        <w:rPr>
          <w:i/>
        </w:rPr>
        <w:t>W</w:t>
      </w:r>
      <w:r w:rsidRPr="00233D86">
        <w:rPr>
          <w:i/>
        </w:rPr>
        <w:t xml:space="preserve">ork for HIV </w:t>
      </w:r>
      <w:r w:rsidR="00233D86" w:rsidRPr="00233D86">
        <w:rPr>
          <w:i/>
        </w:rPr>
        <w:t>P</w:t>
      </w:r>
      <w:r w:rsidRPr="00233D86">
        <w:rPr>
          <w:i/>
        </w:rPr>
        <w:t xml:space="preserve">revention: </w:t>
      </w:r>
      <w:r w:rsidR="00233D86" w:rsidRPr="00233D86">
        <w:rPr>
          <w:i/>
        </w:rPr>
        <w:t>C</w:t>
      </w:r>
      <w:r w:rsidRPr="00233D86">
        <w:rPr>
          <w:i/>
        </w:rPr>
        <w:t>utting-edge perspectives</w:t>
      </w:r>
      <w:r w:rsidRPr="00C000B2">
        <w:t>. Geneva: Joint United Nations Programme on HIV/AIDS.</w:t>
      </w:r>
    </w:p>
    <w:p w14:paraId="4F40AE2E" w14:textId="77777777" w:rsidR="00EF27EC" w:rsidRPr="00C000B2" w:rsidRDefault="00EF27EC" w:rsidP="00043D21">
      <w:pPr>
        <w:pStyle w:val="References"/>
      </w:pPr>
      <w:r w:rsidRPr="00C000B2">
        <w:t xml:space="preserve">Alter HJ, Klein HG. 2008. The hazards of blood transfusion in historical perspective. </w:t>
      </w:r>
      <w:r w:rsidRPr="00C000B2">
        <w:rPr>
          <w:i/>
        </w:rPr>
        <w:t xml:space="preserve">Blood </w:t>
      </w:r>
      <w:r w:rsidRPr="00C000B2">
        <w:t>112(7): 2617–26.</w:t>
      </w:r>
    </w:p>
    <w:p w14:paraId="7F66F60C" w14:textId="77777777" w:rsidR="00EF27EC" w:rsidRPr="00C000B2" w:rsidRDefault="00EF27EC" w:rsidP="00043D21">
      <w:pPr>
        <w:pStyle w:val="References"/>
      </w:pPr>
      <w:r w:rsidRPr="00C000B2">
        <w:t xml:space="preserve">Fong I. 2020. Blood transfusion-associated infections in the twenty-first century: new challenges. </w:t>
      </w:r>
      <w:r w:rsidRPr="00C000B2">
        <w:rPr>
          <w:i/>
        </w:rPr>
        <w:t xml:space="preserve">Current Trends and Concerns in Infectious Diseases </w:t>
      </w:r>
      <w:r w:rsidRPr="00C000B2">
        <w:t>191–215.</w:t>
      </w:r>
    </w:p>
    <w:p w14:paraId="2BFA144F" w14:textId="77777777" w:rsidR="00EF27EC" w:rsidRPr="00C000B2" w:rsidRDefault="00EF27EC" w:rsidP="00043D21">
      <w:pPr>
        <w:pStyle w:val="References"/>
      </w:pPr>
      <w:proofErr w:type="spellStart"/>
      <w:r w:rsidRPr="00C000B2">
        <w:t>Abdella</w:t>
      </w:r>
      <w:proofErr w:type="spellEnd"/>
      <w:r w:rsidRPr="00C000B2">
        <w:t xml:space="preserve"> Y, </w:t>
      </w:r>
      <w:proofErr w:type="spellStart"/>
      <w:r w:rsidRPr="00C000B2">
        <w:t>Riedner</w:t>
      </w:r>
      <w:proofErr w:type="spellEnd"/>
      <w:r w:rsidRPr="00C000B2">
        <w:t xml:space="preserve"> G, </w:t>
      </w:r>
      <w:proofErr w:type="spellStart"/>
      <w:r w:rsidRPr="00C000B2">
        <w:t>Hajjeh</w:t>
      </w:r>
      <w:proofErr w:type="spellEnd"/>
      <w:r w:rsidRPr="00C000B2">
        <w:t xml:space="preserve"> R, et al. 2018. Blood transfusion and hepatitis: what does it take to prevent new infections? </w:t>
      </w:r>
      <w:r w:rsidRPr="00C000B2">
        <w:rPr>
          <w:i/>
        </w:rPr>
        <w:t xml:space="preserve">Eastern Mediterranean Health Journal </w:t>
      </w:r>
      <w:r w:rsidRPr="00C000B2">
        <w:t>24(6): 595–7.</w:t>
      </w:r>
    </w:p>
    <w:p w14:paraId="33E9EE8C" w14:textId="77777777" w:rsidR="00EF27EC" w:rsidRPr="00C000B2" w:rsidRDefault="00EF27EC" w:rsidP="00233D86">
      <w:pPr>
        <w:pStyle w:val="References"/>
        <w:keepNext/>
        <w:keepLines/>
      </w:pPr>
      <w:proofErr w:type="spellStart"/>
      <w:r w:rsidRPr="00C000B2">
        <w:lastRenderedPageBreak/>
        <w:t>Yooda</w:t>
      </w:r>
      <w:proofErr w:type="spellEnd"/>
      <w:r w:rsidRPr="00C000B2">
        <w:t xml:space="preserve"> AP, Sawadogo S, </w:t>
      </w:r>
      <w:proofErr w:type="spellStart"/>
      <w:r w:rsidRPr="00C000B2">
        <w:t>Soubeiga</w:t>
      </w:r>
      <w:proofErr w:type="spellEnd"/>
      <w:r w:rsidRPr="00C000B2">
        <w:t xml:space="preserve"> ST, et al. 2019. Residual risk of HIV, HCV, and HBV transmission by blood transfusion between 2015 and 2017 at the Regional Blood Transfusion </w:t>
      </w:r>
      <w:proofErr w:type="spellStart"/>
      <w:r w:rsidRPr="00C000B2">
        <w:t>Center</w:t>
      </w:r>
      <w:proofErr w:type="spellEnd"/>
      <w:r w:rsidRPr="00C000B2">
        <w:t xml:space="preserve"> of Ouagadougou, Burkina Faso. </w:t>
      </w:r>
      <w:r w:rsidRPr="00C000B2">
        <w:rPr>
          <w:i/>
        </w:rPr>
        <w:t xml:space="preserve">Journal of Blood Medicine </w:t>
      </w:r>
      <w:r w:rsidRPr="00C000B2">
        <w:t>10:</w:t>
      </w:r>
      <w:r w:rsidR="00233D86">
        <w:t> </w:t>
      </w:r>
      <w:r w:rsidRPr="00C000B2">
        <w:t>53</w:t>
      </w:r>
      <w:r w:rsidR="00233D86">
        <w:t>–</w:t>
      </w:r>
      <w:r w:rsidRPr="00C000B2">
        <w:t>8.</w:t>
      </w:r>
    </w:p>
    <w:p w14:paraId="30712E27" w14:textId="77777777" w:rsidR="00EF27EC" w:rsidRPr="00C000B2" w:rsidRDefault="00EF27EC" w:rsidP="00043D21">
      <w:pPr>
        <w:pStyle w:val="References"/>
      </w:pPr>
      <w:r w:rsidRPr="00C000B2">
        <w:t xml:space="preserve">New Zealand Blood Service. 2016. </w:t>
      </w:r>
      <w:r w:rsidRPr="00C000B2">
        <w:rPr>
          <w:i/>
        </w:rPr>
        <w:t xml:space="preserve">Transfusion Medicine Handbook Third Edition, 2016. A guide to the clinical use of blood components, blood products and blood transfusion procedures in New Zealand. </w:t>
      </w:r>
      <w:r w:rsidRPr="00C000B2">
        <w:t xml:space="preserve">Auckland: New Zealand Blood Service. URL: </w:t>
      </w:r>
      <w:hyperlink r:id="rId223" w:history="1">
        <w:r w:rsidR="00233D86" w:rsidRPr="00233D86">
          <w:rPr>
            <w:rStyle w:val="Hyperlink"/>
          </w:rPr>
          <w:t>https://www.nzblood.co.nz/assets/Transfusion-Medicine/PDFs/111G122.pdf</w:t>
        </w:r>
      </w:hyperlink>
      <w:r w:rsidRPr="00C000B2">
        <w:t xml:space="preserve"> (accessed 28 October 2021).</w:t>
      </w:r>
    </w:p>
    <w:p w14:paraId="010457FA" w14:textId="77777777" w:rsidR="00EF27EC" w:rsidRPr="00C000B2" w:rsidRDefault="00EF27EC" w:rsidP="00043D21">
      <w:pPr>
        <w:pStyle w:val="References"/>
      </w:pPr>
      <w:r w:rsidRPr="00C000B2">
        <w:t xml:space="preserve">New Zealand Blood Service. 2016. NZBS 10th Annual </w:t>
      </w:r>
      <w:proofErr w:type="spellStart"/>
      <w:r w:rsidRPr="00C000B2">
        <w:t>Haemovigilance</w:t>
      </w:r>
      <w:proofErr w:type="spellEnd"/>
      <w:r w:rsidRPr="00C000B2">
        <w:t xml:space="preserve"> Report 2014: a summary. </w:t>
      </w:r>
      <w:r w:rsidRPr="00C000B2">
        <w:rPr>
          <w:i/>
        </w:rPr>
        <w:t xml:space="preserve">Blood Issues </w:t>
      </w:r>
      <w:r w:rsidRPr="00C000B2">
        <w:t xml:space="preserve">(29): 1–2. URL: </w:t>
      </w:r>
      <w:hyperlink r:id="rId224" w:history="1">
        <w:r w:rsidR="00233D86" w:rsidRPr="00233D86">
          <w:rPr>
            <w:rStyle w:val="Hyperlink"/>
          </w:rPr>
          <w:t>https://www.nzblood.co.nz/assets/Transfusion-Medicine/Blood-Issues/Blood-Issues-Newsletter-April-2016.pdf</w:t>
        </w:r>
      </w:hyperlink>
      <w:r w:rsidRPr="00C000B2">
        <w:t xml:space="preserve"> (accessed 28 October 2021).</w:t>
      </w:r>
    </w:p>
    <w:p w14:paraId="1EAFC214" w14:textId="77777777" w:rsidR="00EF27EC" w:rsidRPr="00C000B2" w:rsidRDefault="00EF27EC" w:rsidP="00043D21">
      <w:pPr>
        <w:pStyle w:val="References"/>
      </w:pPr>
      <w:r w:rsidRPr="00C000B2">
        <w:t xml:space="preserve">New Zealand Blood Service. 2017. Residual risk of transmission of major blood borne viruses. </w:t>
      </w:r>
      <w:r w:rsidRPr="00C000B2">
        <w:rPr>
          <w:i/>
        </w:rPr>
        <w:t xml:space="preserve">Blood Issues </w:t>
      </w:r>
      <w:r w:rsidRPr="00C000B2">
        <w:t xml:space="preserve">(30): 2–3. URL: </w:t>
      </w:r>
      <w:hyperlink r:id="rId225" w:history="1">
        <w:r w:rsidR="00233D86" w:rsidRPr="00233D86">
          <w:rPr>
            <w:rStyle w:val="Hyperlink"/>
          </w:rPr>
          <w:t>https://www.nzblood.co.nz/assets/Transfusion-Medicine/Blood-Issues/Blood-Issues-Newsletter-November-2017.pdf</w:t>
        </w:r>
      </w:hyperlink>
      <w:r w:rsidRPr="00C000B2">
        <w:t xml:space="preserve"> (accessed 28 October 2021).</w:t>
      </w:r>
    </w:p>
    <w:p w14:paraId="57B52BD8" w14:textId="77777777" w:rsidR="00EF27EC" w:rsidRPr="00C000B2" w:rsidRDefault="00EF27EC" w:rsidP="00043D21">
      <w:pPr>
        <w:pStyle w:val="References"/>
      </w:pPr>
      <w:r w:rsidRPr="00C000B2">
        <w:t xml:space="preserve">Ministry of Health. 1998. </w:t>
      </w:r>
      <w:r w:rsidRPr="00C000B2">
        <w:rPr>
          <w:i/>
        </w:rPr>
        <w:t xml:space="preserve">Guidelines for the Safe Piercing of Skin. </w:t>
      </w:r>
      <w:r w:rsidRPr="00C000B2">
        <w:t>Wellington: Ministry of Health.</w:t>
      </w:r>
    </w:p>
    <w:p w14:paraId="5C5FD3BF" w14:textId="77777777" w:rsidR="00EF27EC" w:rsidRPr="00C000B2" w:rsidRDefault="00EF27EC" w:rsidP="00043D21">
      <w:pPr>
        <w:pStyle w:val="References"/>
      </w:pPr>
      <w:r w:rsidRPr="00C000B2">
        <w:t xml:space="preserve">WorkSafe New Zealand. 2017. </w:t>
      </w:r>
      <w:r w:rsidRPr="00233D86">
        <w:rPr>
          <w:i/>
        </w:rPr>
        <w:t xml:space="preserve">Germs and </w:t>
      </w:r>
      <w:r w:rsidR="00233D86">
        <w:rPr>
          <w:i/>
        </w:rPr>
        <w:t>I</w:t>
      </w:r>
      <w:r w:rsidRPr="00233D86">
        <w:rPr>
          <w:i/>
        </w:rPr>
        <w:t>nfections</w:t>
      </w:r>
      <w:r w:rsidRPr="00C000B2">
        <w:t xml:space="preserve">. URL: </w:t>
      </w:r>
      <w:hyperlink r:id="rId226" w:history="1">
        <w:r w:rsidR="00233D86" w:rsidRPr="00233D86">
          <w:rPr>
            <w:rStyle w:val="Hyperlink"/>
          </w:rPr>
          <w:t>https://www.worksafe.govt.nz/topic-and-industry/health-and-hygiene/germs-and-infections/</w:t>
        </w:r>
      </w:hyperlink>
      <w:r w:rsidRPr="00C000B2">
        <w:t xml:space="preserve"> (accessed 25 October 2021).</w:t>
      </w:r>
    </w:p>
    <w:p w14:paraId="634B397A" w14:textId="77777777" w:rsidR="00EF27EC" w:rsidRPr="00C000B2" w:rsidRDefault="00EF27EC" w:rsidP="00043D21">
      <w:pPr>
        <w:pStyle w:val="References"/>
      </w:pPr>
      <w:r w:rsidRPr="00C000B2">
        <w:t xml:space="preserve">Health Regulatory Authorities of New Zealand. 2005. </w:t>
      </w:r>
      <w:r w:rsidRPr="00233D86">
        <w:rPr>
          <w:i/>
        </w:rPr>
        <w:t xml:space="preserve">HRANZ Joint Guidelines for </w:t>
      </w:r>
      <w:r w:rsidR="00233D86">
        <w:rPr>
          <w:i/>
        </w:rPr>
        <w:t>R</w:t>
      </w:r>
      <w:r w:rsidRPr="00233D86">
        <w:rPr>
          <w:i/>
        </w:rPr>
        <w:t xml:space="preserve">egistered </w:t>
      </w:r>
      <w:r w:rsidR="00233D86">
        <w:rPr>
          <w:i/>
        </w:rPr>
        <w:t>H</w:t>
      </w:r>
      <w:r w:rsidRPr="00233D86">
        <w:rPr>
          <w:i/>
        </w:rPr>
        <w:t xml:space="preserve">ealth </w:t>
      </w:r>
      <w:r w:rsidR="00233D86">
        <w:rPr>
          <w:i/>
        </w:rPr>
        <w:t>C</w:t>
      </w:r>
      <w:r w:rsidRPr="00233D86">
        <w:rPr>
          <w:i/>
        </w:rPr>
        <w:t xml:space="preserve">are </w:t>
      </w:r>
      <w:r w:rsidR="00233D86">
        <w:rPr>
          <w:i/>
        </w:rPr>
        <w:t>W</w:t>
      </w:r>
      <w:r w:rsidRPr="00233D86">
        <w:rPr>
          <w:i/>
        </w:rPr>
        <w:t xml:space="preserve">orkers on </w:t>
      </w:r>
      <w:r w:rsidR="00233D86">
        <w:rPr>
          <w:i/>
        </w:rPr>
        <w:t>T</w:t>
      </w:r>
      <w:r w:rsidRPr="00233D86">
        <w:rPr>
          <w:i/>
        </w:rPr>
        <w:t xml:space="preserve">ransmissible </w:t>
      </w:r>
      <w:r w:rsidR="00233D86">
        <w:rPr>
          <w:i/>
        </w:rPr>
        <w:t>M</w:t>
      </w:r>
      <w:r w:rsidRPr="00233D86">
        <w:rPr>
          <w:i/>
        </w:rPr>
        <w:t xml:space="preserve">ajor </w:t>
      </w:r>
      <w:r w:rsidR="00233D86">
        <w:rPr>
          <w:i/>
        </w:rPr>
        <w:t>V</w:t>
      </w:r>
      <w:r w:rsidRPr="00233D86">
        <w:rPr>
          <w:i/>
        </w:rPr>
        <w:t xml:space="preserve">iral </w:t>
      </w:r>
      <w:r w:rsidR="00233D86">
        <w:rPr>
          <w:i/>
        </w:rPr>
        <w:t>I</w:t>
      </w:r>
      <w:r w:rsidRPr="00233D86">
        <w:rPr>
          <w:i/>
        </w:rPr>
        <w:t>nfections</w:t>
      </w:r>
      <w:r w:rsidRPr="00C000B2">
        <w:t xml:space="preserve">. URL: </w:t>
      </w:r>
      <w:hyperlink r:id="rId227" w:history="1">
        <w:r w:rsidR="00233D86" w:rsidRPr="00233D86">
          <w:rPr>
            <w:rStyle w:val="Hyperlink"/>
          </w:rPr>
          <w:t>https://www.podiatristsboard.org.nz/Portals/0/Uploads/TMVI%20-%20HRANZ%20guidelines.pdf</w:t>
        </w:r>
      </w:hyperlink>
      <w:r w:rsidRPr="00C000B2">
        <w:t xml:space="preserve"> (accessed 23 October 2021).</w:t>
      </w:r>
    </w:p>
    <w:p w14:paraId="57E8D728" w14:textId="77777777" w:rsidR="00EF27EC" w:rsidRPr="00C000B2" w:rsidRDefault="00EF27EC" w:rsidP="00043D21">
      <w:pPr>
        <w:pStyle w:val="References"/>
      </w:pPr>
      <w:r w:rsidRPr="00C000B2">
        <w:t xml:space="preserve">Hutt City Council. </w:t>
      </w:r>
      <w:proofErr w:type="spellStart"/>
      <w:r w:rsidRPr="00C000B2">
        <w:t>nd</w:t>
      </w:r>
      <w:proofErr w:type="spellEnd"/>
      <w:r w:rsidRPr="00C000B2">
        <w:t xml:space="preserve">. </w:t>
      </w:r>
      <w:r w:rsidRPr="00233D86">
        <w:rPr>
          <w:i/>
        </w:rPr>
        <w:t xml:space="preserve">Statement of </w:t>
      </w:r>
      <w:r w:rsidR="00233D86">
        <w:rPr>
          <w:i/>
        </w:rPr>
        <w:t>P</w:t>
      </w:r>
      <w:r w:rsidRPr="00233D86">
        <w:rPr>
          <w:i/>
        </w:rPr>
        <w:t xml:space="preserve">roposal: Appearance </w:t>
      </w:r>
      <w:r w:rsidR="00233D86">
        <w:rPr>
          <w:i/>
        </w:rPr>
        <w:t>i</w:t>
      </w:r>
      <w:r w:rsidRPr="00233D86">
        <w:rPr>
          <w:i/>
        </w:rPr>
        <w:t xml:space="preserve">ndustries </w:t>
      </w:r>
      <w:r w:rsidR="00233D86">
        <w:rPr>
          <w:i/>
        </w:rPr>
        <w:t>b</w:t>
      </w:r>
      <w:r w:rsidRPr="00233D86">
        <w:rPr>
          <w:i/>
        </w:rPr>
        <w:t>ylaw</w:t>
      </w:r>
      <w:r w:rsidRPr="00C000B2">
        <w:t xml:space="preserve">. URL: </w:t>
      </w:r>
      <w:hyperlink r:id="rId228" w:history="1">
        <w:r w:rsidR="00233D86" w:rsidRPr="00233D86">
          <w:rPr>
            <w:rStyle w:val="Hyperlink"/>
          </w:rPr>
          <w:t>http://iportal.huttcity.govt.nz/Record/ReadOnly?Tab=3&amp;Uri=5441466</w:t>
        </w:r>
      </w:hyperlink>
      <w:r w:rsidRPr="00C000B2">
        <w:t xml:space="preserve"> (accessed 28</w:t>
      </w:r>
      <w:r w:rsidR="00233D86">
        <w:t> </w:t>
      </w:r>
      <w:r w:rsidRPr="00C000B2">
        <w:t>October 2021).</w:t>
      </w:r>
    </w:p>
    <w:p w14:paraId="1A931192" w14:textId="77777777" w:rsidR="00EF27EC" w:rsidRPr="00C000B2" w:rsidRDefault="00EF27EC" w:rsidP="00043D21">
      <w:pPr>
        <w:pStyle w:val="References"/>
      </w:pPr>
      <w:r w:rsidRPr="00C000B2">
        <w:t xml:space="preserve">New Zealand Association of Registered Beauty Professionals. 2020. </w:t>
      </w:r>
      <w:r w:rsidRPr="00C000B2">
        <w:rPr>
          <w:i/>
        </w:rPr>
        <w:t>Health and Hygiene Guidelines</w:t>
      </w:r>
      <w:r w:rsidRPr="00C000B2">
        <w:t xml:space="preserve">. Auckland: New Zealand Association of Registered Beauty Professionals. URL: </w:t>
      </w:r>
      <w:hyperlink r:id="rId229" w:history="1">
        <w:r w:rsidR="00233D86" w:rsidRPr="00233D86">
          <w:rPr>
            <w:rStyle w:val="Hyperlink"/>
          </w:rPr>
          <w:t>https://www.beautynz.org.nz/files/3216/0046/5302/Health_and_Hygiene_Vol_2_0._2020.09.pdf</w:t>
        </w:r>
      </w:hyperlink>
      <w:r w:rsidRPr="00C000B2">
        <w:t xml:space="preserve"> (accessed 28 October 2021).</w:t>
      </w:r>
    </w:p>
    <w:p w14:paraId="1715C111" w14:textId="77777777" w:rsidR="00EF27EC" w:rsidRPr="00C000B2" w:rsidRDefault="00EF27EC" w:rsidP="00043D21">
      <w:pPr>
        <w:pStyle w:val="References"/>
      </w:pPr>
      <w:r w:rsidRPr="00C000B2">
        <w:t xml:space="preserve">National Centre in HIV Epidemiology and Clinical Research. 2009. </w:t>
      </w:r>
      <w:r w:rsidRPr="00C000B2">
        <w:rPr>
          <w:i/>
        </w:rPr>
        <w:t>Return on Investment 2: Evaluating the cost-effectiveness of needle and syringe programs in Australia</w:t>
      </w:r>
      <w:r w:rsidRPr="00233D86">
        <w:t xml:space="preserve">. </w:t>
      </w:r>
      <w:r w:rsidRPr="00C000B2">
        <w:t xml:space="preserve">Department of Health and Ageing and National Centre in HIV Epidemiology and Clinical Research. URL: </w:t>
      </w:r>
      <w:hyperlink r:id="rId230" w:history="1">
        <w:r w:rsidR="00233D86" w:rsidRPr="00233D86">
          <w:rPr>
            <w:rStyle w:val="Hyperlink"/>
          </w:rPr>
          <w:t>https://www.acon.org.au/wp-content/uploads/2015/04/Evaluating-the-cost-effectiveness-of-NSP-in-Australia-2009.pdf</w:t>
        </w:r>
      </w:hyperlink>
      <w:r w:rsidRPr="00C000B2">
        <w:t xml:space="preserve"> (accessed 30 October 2021).</w:t>
      </w:r>
    </w:p>
    <w:p w14:paraId="389C7767" w14:textId="77777777" w:rsidR="00EF27EC" w:rsidRPr="00C000B2" w:rsidRDefault="00EF27EC" w:rsidP="00043D21">
      <w:pPr>
        <w:pStyle w:val="References"/>
      </w:pPr>
      <w:r w:rsidRPr="00C000B2">
        <w:t xml:space="preserve">New Zealand Needle Exchange Programme. </w:t>
      </w:r>
      <w:proofErr w:type="spellStart"/>
      <w:r w:rsidRPr="00C000B2">
        <w:t>nd</w:t>
      </w:r>
      <w:proofErr w:type="spellEnd"/>
      <w:r w:rsidRPr="00C000B2">
        <w:t xml:space="preserve">. </w:t>
      </w:r>
      <w:r w:rsidRPr="00233D86">
        <w:rPr>
          <w:i/>
        </w:rPr>
        <w:t>About Us</w:t>
      </w:r>
      <w:r w:rsidRPr="00C000B2">
        <w:t xml:space="preserve">. URL: </w:t>
      </w:r>
      <w:r w:rsidRPr="00233D86">
        <w:rPr>
          <w:rStyle w:val="Hyperlink"/>
        </w:rPr>
        <w:t>https://</w:t>
      </w:r>
      <w:hyperlink r:id="rId231">
        <w:r w:rsidRPr="00233D86">
          <w:rPr>
            <w:rStyle w:val="Hyperlink"/>
          </w:rPr>
          <w:t>www.nznep.org.nz/about-us</w:t>
        </w:r>
      </w:hyperlink>
      <w:r w:rsidRPr="00C000B2">
        <w:t xml:space="preserve"> (accessed 14 November 2021).</w:t>
      </w:r>
    </w:p>
    <w:p w14:paraId="659D762B" w14:textId="77777777" w:rsidR="00EF27EC" w:rsidRPr="00C000B2" w:rsidRDefault="00EF27EC" w:rsidP="00233D86">
      <w:pPr>
        <w:pStyle w:val="References"/>
        <w:keepNext/>
        <w:keepLines/>
      </w:pPr>
      <w:r w:rsidRPr="00C000B2">
        <w:lastRenderedPageBreak/>
        <w:t xml:space="preserve">Robinson G, Reynolds J, Robinson B. 1995. </w:t>
      </w:r>
      <w:r w:rsidR="009278A9">
        <w:t>Hepatitis C</w:t>
      </w:r>
      <w:r w:rsidRPr="00C000B2">
        <w:t xml:space="preserve"> prevalence and needle/syringe sharing behaviours in recent onset injecting drug users. </w:t>
      </w:r>
      <w:r w:rsidRPr="00C000B2">
        <w:rPr>
          <w:i/>
        </w:rPr>
        <w:t xml:space="preserve">New Zealand Medical Journal </w:t>
      </w:r>
      <w:r w:rsidRPr="00C000B2">
        <w:t>108(996): 103</w:t>
      </w:r>
      <w:r w:rsidR="00233D86">
        <w:t>–</w:t>
      </w:r>
      <w:r w:rsidRPr="00C000B2">
        <w:t>5.</w:t>
      </w:r>
    </w:p>
    <w:p w14:paraId="64CB41F6" w14:textId="77777777" w:rsidR="00EF27EC" w:rsidRPr="00C000B2" w:rsidRDefault="00EF27EC" w:rsidP="00043D21">
      <w:pPr>
        <w:pStyle w:val="References"/>
      </w:pPr>
      <w:r w:rsidRPr="00C000B2">
        <w:t xml:space="preserve">Saxton P, McAllister S, </w:t>
      </w:r>
      <w:proofErr w:type="spellStart"/>
      <w:r w:rsidRPr="00C000B2">
        <w:t>Noller</w:t>
      </w:r>
      <w:proofErr w:type="spellEnd"/>
      <w:r w:rsidRPr="00C000B2">
        <w:t xml:space="preserve"> G, et al. 2020. Injecting drug use among gay and bisexual men in New Zealand: </w:t>
      </w:r>
      <w:r w:rsidR="00233D86">
        <w:t>f</w:t>
      </w:r>
      <w:r w:rsidRPr="00C000B2">
        <w:t xml:space="preserve">indings from national human immunodeficiency virus epidemiological and behavioural surveillance. </w:t>
      </w:r>
      <w:r w:rsidRPr="00C000B2">
        <w:rPr>
          <w:i/>
        </w:rPr>
        <w:t xml:space="preserve">Drug and Alcohol Review </w:t>
      </w:r>
      <w:r w:rsidR="00233D86">
        <w:t>39(4): 365–</w:t>
      </w:r>
      <w:r w:rsidRPr="00C000B2">
        <w:t>74.</w:t>
      </w:r>
    </w:p>
    <w:p w14:paraId="64AE5B3F" w14:textId="77777777" w:rsidR="00EF27EC" w:rsidRPr="00C000B2" w:rsidRDefault="00EF27EC" w:rsidP="00043D21">
      <w:pPr>
        <w:pStyle w:val="References"/>
      </w:pPr>
      <w:r w:rsidRPr="00C000B2">
        <w:t xml:space="preserve">Ortiz E, Scanlon B, Mullens A, et al. 2020. Effectiveness of interventions for </w:t>
      </w:r>
      <w:r w:rsidR="009278A9">
        <w:t>Hepatitis B</w:t>
      </w:r>
      <w:r w:rsidRPr="00C000B2">
        <w:t xml:space="preserve"> and C: a systematic review of vaccination, screening, health promotion and linkage to care within higher income countries. </w:t>
      </w:r>
      <w:r w:rsidRPr="00C000B2">
        <w:rPr>
          <w:i/>
        </w:rPr>
        <w:t xml:space="preserve">Journal of Community Health </w:t>
      </w:r>
      <w:r w:rsidRPr="00C000B2">
        <w:t>45(1): 201–18.</w:t>
      </w:r>
    </w:p>
    <w:p w14:paraId="0FEF7AC6" w14:textId="77777777" w:rsidR="00EF27EC" w:rsidRPr="00C000B2" w:rsidRDefault="00EF27EC" w:rsidP="00043D21">
      <w:pPr>
        <w:pStyle w:val="References"/>
      </w:pPr>
      <w:r w:rsidRPr="00C000B2">
        <w:t xml:space="preserve">Lei J, </w:t>
      </w:r>
      <w:proofErr w:type="spellStart"/>
      <w:r w:rsidRPr="00C000B2">
        <w:t>Ploner</w:t>
      </w:r>
      <w:proofErr w:type="spellEnd"/>
      <w:r w:rsidRPr="00C000B2">
        <w:t xml:space="preserve"> A, </w:t>
      </w:r>
      <w:proofErr w:type="spellStart"/>
      <w:r w:rsidRPr="00C000B2">
        <w:t>Elfström</w:t>
      </w:r>
      <w:proofErr w:type="spellEnd"/>
      <w:r w:rsidRPr="00C000B2">
        <w:t xml:space="preserve"> KM, et al. 2020. HPV vaccination and the risk of invasive cervical cancer. </w:t>
      </w:r>
      <w:r w:rsidRPr="00C000B2">
        <w:rPr>
          <w:i/>
        </w:rPr>
        <w:t xml:space="preserve">New England Journal of Medicine </w:t>
      </w:r>
      <w:r w:rsidRPr="00C000B2">
        <w:t>383(14): 1340–8.</w:t>
      </w:r>
    </w:p>
    <w:p w14:paraId="7145AD35" w14:textId="77777777" w:rsidR="00EF27EC" w:rsidRPr="00C000B2" w:rsidRDefault="00EF27EC" w:rsidP="00043D21">
      <w:pPr>
        <w:pStyle w:val="References"/>
      </w:pPr>
      <w:r w:rsidRPr="00C000B2">
        <w:t xml:space="preserve">Oliveira CR, </w:t>
      </w:r>
      <w:proofErr w:type="spellStart"/>
      <w:r w:rsidRPr="00C000B2">
        <w:t>Niccolai</w:t>
      </w:r>
      <w:proofErr w:type="spellEnd"/>
      <w:r w:rsidRPr="00C000B2">
        <w:t xml:space="preserve"> LM. 2021. Monitoring HPV vaccine impact on cervical disease: status and future directions for the era of cervical cancer elimination. </w:t>
      </w:r>
      <w:r w:rsidRPr="00C000B2">
        <w:rPr>
          <w:i/>
        </w:rPr>
        <w:t xml:space="preserve">Preventive Medicine </w:t>
      </w:r>
      <w:r w:rsidRPr="00C000B2">
        <w:t>144: 106363.</w:t>
      </w:r>
    </w:p>
    <w:p w14:paraId="1912BBB3" w14:textId="77777777" w:rsidR="00EF27EC" w:rsidRPr="00C000B2" w:rsidRDefault="00EF27EC" w:rsidP="00043D21">
      <w:pPr>
        <w:pStyle w:val="References"/>
      </w:pPr>
      <w:r w:rsidRPr="00C000B2">
        <w:t xml:space="preserve">ESR. 2019. </w:t>
      </w:r>
      <w:r w:rsidRPr="00C000B2">
        <w:rPr>
          <w:i/>
        </w:rPr>
        <w:t>Sexually Transmitted Infections in New Zealand: Annual surveillance report 2016</w:t>
      </w:r>
      <w:r w:rsidRPr="00C000B2">
        <w:t>. Porirua: Institute of Environmental Science and Research Ltd.</w:t>
      </w:r>
    </w:p>
    <w:p w14:paraId="7EB775CD" w14:textId="77777777" w:rsidR="00EF27EC" w:rsidRPr="00C000B2" w:rsidRDefault="00EF27EC" w:rsidP="00043D21">
      <w:pPr>
        <w:pStyle w:val="References"/>
      </w:pPr>
      <w:r w:rsidRPr="00C000B2">
        <w:t xml:space="preserve">Ni YH, Chang MH, Wu JF, et al. 2012. Minimization of </w:t>
      </w:r>
      <w:r w:rsidR="009278A9">
        <w:t>hepatitis B</w:t>
      </w:r>
      <w:r w:rsidRPr="00C000B2">
        <w:t xml:space="preserve"> infection by a 25</w:t>
      </w:r>
      <w:r w:rsidR="00233D86">
        <w:noBreakHyphen/>
      </w:r>
      <w:r w:rsidRPr="00C000B2">
        <w:t xml:space="preserve">year universal vaccination program. </w:t>
      </w:r>
      <w:r w:rsidRPr="00C000B2">
        <w:rPr>
          <w:i/>
        </w:rPr>
        <w:t xml:space="preserve">Journal of Hepatology </w:t>
      </w:r>
      <w:r w:rsidRPr="00C000B2">
        <w:t>57(4): 730–5.</w:t>
      </w:r>
    </w:p>
    <w:p w14:paraId="5F2F2704" w14:textId="77777777" w:rsidR="00EF27EC" w:rsidRPr="00C000B2" w:rsidRDefault="00EF27EC" w:rsidP="00043D21">
      <w:pPr>
        <w:pStyle w:val="References"/>
      </w:pPr>
      <w:proofErr w:type="spellStart"/>
      <w:r w:rsidRPr="00C000B2">
        <w:t>Wiesen</w:t>
      </w:r>
      <w:proofErr w:type="spellEnd"/>
      <w:r w:rsidRPr="00C000B2">
        <w:t xml:space="preserve"> E, </w:t>
      </w:r>
      <w:proofErr w:type="spellStart"/>
      <w:r w:rsidRPr="00C000B2">
        <w:t>Diorditsa</w:t>
      </w:r>
      <w:proofErr w:type="spellEnd"/>
      <w:r w:rsidRPr="00C000B2">
        <w:t xml:space="preserve"> S, Li X. 2016. Progress towards </w:t>
      </w:r>
      <w:r w:rsidR="009278A9">
        <w:t>hepatitis B</w:t>
      </w:r>
      <w:r w:rsidRPr="00C000B2">
        <w:t xml:space="preserve"> prevention through vaccination in the Western Pacific, 1990–2014. </w:t>
      </w:r>
      <w:r w:rsidRPr="00C000B2">
        <w:rPr>
          <w:i/>
        </w:rPr>
        <w:t xml:space="preserve">Vaccine </w:t>
      </w:r>
      <w:r w:rsidRPr="00C000B2">
        <w:t>34(25): 2855–62.</w:t>
      </w:r>
    </w:p>
    <w:p w14:paraId="2EF8B3DF" w14:textId="77777777" w:rsidR="00EF27EC" w:rsidRPr="00C000B2" w:rsidRDefault="00EF27EC" w:rsidP="00043D21">
      <w:pPr>
        <w:pStyle w:val="References"/>
      </w:pPr>
      <w:r w:rsidRPr="00C000B2">
        <w:t xml:space="preserve">Anderson PL, Glidden DV, Liu A, et al. 2012. Emtricitabine-tenofovir concentrations and pre-exposure prophylaxis efficacy in men who have sex with men. </w:t>
      </w:r>
      <w:r w:rsidRPr="00C000B2">
        <w:rPr>
          <w:i/>
        </w:rPr>
        <w:t xml:space="preserve">Science Translational Medicine </w:t>
      </w:r>
      <w:r w:rsidRPr="00C000B2">
        <w:t>4(151): 151ra25.</w:t>
      </w:r>
    </w:p>
    <w:p w14:paraId="16194FAD" w14:textId="77777777" w:rsidR="00EF27EC" w:rsidRPr="00C000B2" w:rsidRDefault="00EF27EC" w:rsidP="00043D21">
      <w:pPr>
        <w:pStyle w:val="References"/>
      </w:pPr>
      <w:proofErr w:type="spellStart"/>
      <w:r w:rsidRPr="00C000B2">
        <w:t>DeHaan</w:t>
      </w:r>
      <w:proofErr w:type="spellEnd"/>
      <w:r w:rsidRPr="00C000B2">
        <w:t xml:space="preserve"> E, McGowan J, Fine S, et al. 2021. </w:t>
      </w:r>
      <w:r w:rsidRPr="00233D86">
        <w:rPr>
          <w:i/>
        </w:rPr>
        <w:t>PEP to Prevent HIV Infection</w:t>
      </w:r>
      <w:r w:rsidRPr="00C000B2">
        <w:t xml:space="preserve">. Baltimore: Johns Hopkins University, URL: </w:t>
      </w:r>
      <w:r w:rsidRPr="00233D86">
        <w:rPr>
          <w:rStyle w:val="Hyperlink"/>
        </w:rPr>
        <w:t>https://</w:t>
      </w:r>
      <w:hyperlink r:id="rId232">
        <w:r w:rsidRPr="00233D86">
          <w:rPr>
            <w:rStyle w:val="Hyperlink"/>
          </w:rPr>
          <w:t xml:space="preserve">www.ncbi.nlm.nih.gov/books/NBK562734/ </w:t>
        </w:r>
      </w:hyperlink>
      <w:r w:rsidRPr="00C000B2">
        <w:t>(accessed 14 January 2022)</w:t>
      </w:r>
      <w:r w:rsidR="00233D86">
        <w:t>.</w:t>
      </w:r>
    </w:p>
    <w:p w14:paraId="64125545" w14:textId="77777777" w:rsidR="00EF27EC" w:rsidRPr="00C000B2" w:rsidRDefault="00EF27EC" w:rsidP="00043D21">
      <w:pPr>
        <w:pStyle w:val="References"/>
      </w:pPr>
      <w:r w:rsidRPr="00C000B2">
        <w:t xml:space="preserve">Brown AE, Mohammed H, </w:t>
      </w:r>
      <w:proofErr w:type="spellStart"/>
      <w:r w:rsidRPr="00C000B2">
        <w:t>Ogaz</w:t>
      </w:r>
      <w:proofErr w:type="spellEnd"/>
      <w:r w:rsidRPr="00C000B2">
        <w:t xml:space="preserve"> D, et al. 2017. Fall in new HIV diagnoses among men who have sex with men (MSM) at selected London sexual health clinics since early 2015: testing or treatment or pre-exposure prophylaxis (</w:t>
      </w:r>
      <w:proofErr w:type="spellStart"/>
      <w:r w:rsidRPr="00C000B2">
        <w:t>PrEP</w:t>
      </w:r>
      <w:proofErr w:type="spellEnd"/>
      <w:r w:rsidRPr="00C000B2">
        <w:t xml:space="preserve">)? </w:t>
      </w:r>
      <w:r w:rsidRPr="00C000B2">
        <w:rPr>
          <w:i/>
        </w:rPr>
        <w:t>Euro Surveill</w:t>
      </w:r>
      <w:r w:rsidRPr="00C000B2">
        <w:t>ance 22(25): 30553.</w:t>
      </w:r>
    </w:p>
    <w:p w14:paraId="2E5E2577" w14:textId="77777777" w:rsidR="00EF27EC" w:rsidRPr="00C000B2" w:rsidRDefault="00EF27EC" w:rsidP="00043D21">
      <w:pPr>
        <w:pStyle w:val="References"/>
      </w:pPr>
      <w:r w:rsidRPr="00C000B2">
        <w:t xml:space="preserve">Liu AY, Cohen SE, </w:t>
      </w:r>
      <w:proofErr w:type="spellStart"/>
      <w:r w:rsidRPr="00C000B2">
        <w:t>Vittinghoff</w:t>
      </w:r>
      <w:proofErr w:type="spellEnd"/>
      <w:r w:rsidRPr="00C000B2">
        <w:t xml:space="preserve"> E, et al. 2016. Pre</w:t>
      </w:r>
      <w:r w:rsidR="00233D86">
        <w:t>-</w:t>
      </w:r>
      <w:r w:rsidRPr="00C000B2">
        <w:t xml:space="preserve">exposure </w:t>
      </w:r>
      <w:r w:rsidR="00233D86">
        <w:t>p</w:t>
      </w:r>
      <w:r w:rsidRPr="00C000B2">
        <w:t xml:space="preserve">rophylaxis for HIV </w:t>
      </w:r>
      <w:r w:rsidR="00233D86">
        <w:t>i</w:t>
      </w:r>
      <w:r w:rsidRPr="00C000B2">
        <w:t xml:space="preserve">nfection </w:t>
      </w:r>
      <w:r w:rsidR="00233D86">
        <w:t>i</w:t>
      </w:r>
      <w:r w:rsidRPr="00C000B2">
        <w:t xml:space="preserve">ntegrated </w:t>
      </w:r>
      <w:r w:rsidR="00233D86">
        <w:t>w</w:t>
      </w:r>
      <w:r w:rsidRPr="00C000B2">
        <w:t xml:space="preserve">ith </w:t>
      </w:r>
      <w:r w:rsidR="00233D86">
        <w:t>m</w:t>
      </w:r>
      <w:r w:rsidRPr="00C000B2">
        <w:t xml:space="preserve">unicipal- and </w:t>
      </w:r>
      <w:r w:rsidR="00233D86">
        <w:t>c</w:t>
      </w:r>
      <w:r w:rsidRPr="00C000B2">
        <w:t>ommunity-</w:t>
      </w:r>
      <w:r w:rsidR="00233D86">
        <w:t>b</w:t>
      </w:r>
      <w:r w:rsidRPr="00C000B2">
        <w:t xml:space="preserve">ased </w:t>
      </w:r>
      <w:r w:rsidR="00233D86">
        <w:t>s</w:t>
      </w:r>
      <w:r w:rsidRPr="00C000B2">
        <w:t xml:space="preserve">exual </w:t>
      </w:r>
      <w:r w:rsidR="00233D86">
        <w:t>h</w:t>
      </w:r>
      <w:r w:rsidRPr="00C000B2">
        <w:t xml:space="preserve">ealth </w:t>
      </w:r>
      <w:r w:rsidR="00233D86">
        <w:t>s</w:t>
      </w:r>
      <w:r w:rsidRPr="00C000B2">
        <w:t xml:space="preserve">ervices. </w:t>
      </w:r>
      <w:r w:rsidRPr="00C000B2">
        <w:rPr>
          <w:i/>
        </w:rPr>
        <w:t xml:space="preserve">JAMA Internal Medicine </w:t>
      </w:r>
      <w:r w:rsidRPr="00C000B2">
        <w:t>176(1): 75</w:t>
      </w:r>
      <w:r w:rsidR="00233D86">
        <w:t>–</w:t>
      </w:r>
      <w:r w:rsidRPr="00C000B2">
        <w:t>84.</w:t>
      </w:r>
    </w:p>
    <w:p w14:paraId="6CD00132" w14:textId="77777777" w:rsidR="00EF27EC" w:rsidRPr="00C000B2" w:rsidRDefault="00EF27EC" w:rsidP="00043D21">
      <w:pPr>
        <w:pStyle w:val="References"/>
      </w:pPr>
      <w:r w:rsidRPr="00C000B2">
        <w:t xml:space="preserve">Saxton P, </w:t>
      </w:r>
      <w:proofErr w:type="spellStart"/>
      <w:r w:rsidRPr="00C000B2">
        <w:t>Giola</w:t>
      </w:r>
      <w:proofErr w:type="spellEnd"/>
      <w:r w:rsidRPr="00C000B2">
        <w:t xml:space="preserve"> M, Coughlan E, et al. 2018. Implementing HIV pre-exposure prophylaxis (</w:t>
      </w:r>
      <w:proofErr w:type="spellStart"/>
      <w:r w:rsidRPr="00C000B2">
        <w:t>PrEP</w:t>
      </w:r>
      <w:proofErr w:type="spellEnd"/>
      <w:r w:rsidRPr="00C000B2">
        <w:t xml:space="preserve">): let’s not get caught with our pants down. </w:t>
      </w:r>
      <w:r w:rsidRPr="00C000B2">
        <w:rPr>
          <w:i/>
        </w:rPr>
        <w:t xml:space="preserve">The New Zealand Medical Journal </w:t>
      </w:r>
      <w:r w:rsidRPr="00C000B2">
        <w:t>131(1481): 64</w:t>
      </w:r>
      <w:r w:rsidR="00233D86">
        <w:t>–</w:t>
      </w:r>
      <w:r w:rsidRPr="00C000B2">
        <w:t>73.</w:t>
      </w:r>
    </w:p>
    <w:p w14:paraId="02CAD97F" w14:textId="77777777" w:rsidR="00EF27EC" w:rsidRPr="00C000B2" w:rsidRDefault="00EF27EC" w:rsidP="00043D21">
      <w:pPr>
        <w:pStyle w:val="References"/>
      </w:pPr>
      <w:r w:rsidRPr="00C000B2">
        <w:t>Saxton PJW, McAllister SM. 2019. Enumerating the population eligible for funded HIV pre-exposure prophylaxis (</w:t>
      </w:r>
      <w:proofErr w:type="spellStart"/>
      <w:r w:rsidRPr="00C000B2">
        <w:t>PrEP</w:t>
      </w:r>
      <w:proofErr w:type="spellEnd"/>
      <w:r w:rsidRPr="00C000B2">
        <w:t xml:space="preserve">) in New Zealand. </w:t>
      </w:r>
      <w:r w:rsidRPr="00C000B2">
        <w:rPr>
          <w:i/>
        </w:rPr>
        <w:t xml:space="preserve">Sexual Health </w:t>
      </w:r>
      <w:r w:rsidRPr="00C000B2">
        <w:t>16(1): 63</w:t>
      </w:r>
      <w:r w:rsidR="00233D86">
        <w:t>–</w:t>
      </w:r>
      <w:r w:rsidRPr="00C000B2">
        <w:t>9.</w:t>
      </w:r>
    </w:p>
    <w:p w14:paraId="3B069A34" w14:textId="77777777" w:rsidR="00EF27EC" w:rsidRPr="00C000B2" w:rsidRDefault="00EF27EC" w:rsidP="00233D86">
      <w:pPr>
        <w:pStyle w:val="References"/>
        <w:keepNext/>
        <w:keepLines/>
      </w:pPr>
      <w:r w:rsidRPr="00C000B2">
        <w:lastRenderedPageBreak/>
        <w:t xml:space="preserve">New Zealand AIDS Foundation. </w:t>
      </w:r>
      <w:proofErr w:type="spellStart"/>
      <w:r w:rsidRPr="00C000B2">
        <w:t>nd</w:t>
      </w:r>
      <w:proofErr w:type="spellEnd"/>
      <w:r w:rsidRPr="00C000B2">
        <w:t xml:space="preserve">. </w:t>
      </w:r>
      <w:r w:rsidRPr="00233D86">
        <w:rPr>
          <w:i/>
        </w:rPr>
        <w:t>Post-exposure Prophylaxis (PEP)</w:t>
      </w:r>
      <w:r w:rsidRPr="00C000B2">
        <w:t xml:space="preserve">. URL: </w:t>
      </w:r>
      <w:hyperlink r:id="rId233" w:history="1">
        <w:r w:rsidR="00233D86" w:rsidRPr="00233D86">
          <w:rPr>
            <w:rStyle w:val="Hyperlink"/>
          </w:rPr>
          <w:t>https://www.nzaf.org.nz/awareness-and-prevention/prevention/post-exposure-prophylaxis-pep/</w:t>
        </w:r>
      </w:hyperlink>
      <w:r w:rsidRPr="00C000B2">
        <w:t xml:space="preserve"> (accessed 14 January 2022).</w:t>
      </w:r>
    </w:p>
    <w:p w14:paraId="07569829" w14:textId="77777777" w:rsidR="00EF27EC" w:rsidRPr="00C000B2" w:rsidRDefault="00EF27EC" w:rsidP="00043D21">
      <w:pPr>
        <w:pStyle w:val="References"/>
      </w:pPr>
      <w:r w:rsidRPr="00C000B2">
        <w:t xml:space="preserve">National Academies of Sciences, Engineering and Medicine. 2017. </w:t>
      </w:r>
      <w:r w:rsidRPr="00C000B2">
        <w:rPr>
          <w:i/>
        </w:rPr>
        <w:t xml:space="preserve">A National Strategy for the Elimination of </w:t>
      </w:r>
      <w:r w:rsidR="009278A9">
        <w:rPr>
          <w:i/>
        </w:rPr>
        <w:t>Hepatitis B</w:t>
      </w:r>
      <w:r w:rsidRPr="00C000B2">
        <w:rPr>
          <w:i/>
        </w:rPr>
        <w:t xml:space="preserve"> and C: Phase two report</w:t>
      </w:r>
      <w:r w:rsidRPr="00C000B2">
        <w:t>. Washington, DC: National Academies Press.</w:t>
      </w:r>
    </w:p>
    <w:p w14:paraId="20180A27" w14:textId="77777777" w:rsidR="00EF27EC" w:rsidRPr="00C000B2" w:rsidRDefault="00EF27EC" w:rsidP="00043D21">
      <w:pPr>
        <w:pStyle w:val="References"/>
      </w:pPr>
      <w:r w:rsidRPr="00C000B2">
        <w:t xml:space="preserve">WHO. 2015. </w:t>
      </w:r>
      <w:r w:rsidRPr="00C000B2">
        <w:rPr>
          <w:i/>
        </w:rPr>
        <w:t xml:space="preserve">Guidelines for the Prevention, Care and Treatment of Persons with Chronic </w:t>
      </w:r>
      <w:r w:rsidR="009278A9">
        <w:rPr>
          <w:i/>
        </w:rPr>
        <w:t>Hepatitis B</w:t>
      </w:r>
      <w:r w:rsidRPr="00C000B2">
        <w:rPr>
          <w:i/>
        </w:rPr>
        <w:t xml:space="preserve"> Infection. </w:t>
      </w:r>
      <w:r w:rsidRPr="00C000B2">
        <w:t xml:space="preserve">Geneva: World Health Organization. URL: </w:t>
      </w:r>
      <w:hyperlink r:id="rId234" w:history="1">
        <w:r w:rsidR="00233D86" w:rsidRPr="00233D86">
          <w:rPr>
            <w:rStyle w:val="Hyperlink"/>
          </w:rPr>
          <w:t>http://apps.who.int/iris/bitstream/handle/10665/154590/9789241549059_eng.pdf?sequence=1</w:t>
        </w:r>
      </w:hyperlink>
      <w:r w:rsidRPr="00C000B2">
        <w:t xml:space="preserve"> (accessed 30 October 2021).</w:t>
      </w:r>
    </w:p>
    <w:p w14:paraId="554A48EB" w14:textId="77777777" w:rsidR="00EF27EC" w:rsidRPr="00C000B2" w:rsidRDefault="00EF27EC" w:rsidP="00043D21">
      <w:pPr>
        <w:pStyle w:val="References"/>
      </w:pPr>
      <w:r w:rsidRPr="00C000B2">
        <w:t xml:space="preserve">Chen HL, Lin LH, Hu FC, et al. 2012. Effects of maternal screening and universal immunization to prevent mother-to-infant transmission of HBV. </w:t>
      </w:r>
      <w:r w:rsidRPr="00C000B2">
        <w:rPr>
          <w:i/>
        </w:rPr>
        <w:t xml:space="preserve">Gastroenterology </w:t>
      </w:r>
      <w:r w:rsidRPr="00C000B2">
        <w:t>142(4): 773–81. e772.</w:t>
      </w:r>
    </w:p>
    <w:p w14:paraId="1DDC358B" w14:textId="77777777" w:rsidR="00EF27EC" w:rsidRPr="00C000B2" w:rsidRDefault="00EF27EC" w:rsidP="00043D21">
      <w:pPr>
        <w:pStyle w:val="References"/>
      </w:pPr>
      <w:r w:rsidRPr="00C000B2">
        <w:t xml:space="preserve">Chang M-H, Chen D-S. 2015. Prevention of </w:t>
      </w:r>
      <w:r w:rsidR="009278A9">
        <w:t>hepatitis B</w:t>
      </w:r>
      <w:r w:rsidRPr="00C000B2">
        <w:t xml:space="preserve">. </w:t>
      </w:r>
      <w:r w:rsidRPr="00C000B2">
        <w:rPr>
          <w:i/>
        </w:rPr>
        <w:t xml:space="preserve">Cold Spring </w:t>
      </w:r>
      <w:proofErr w:type="spellStart"/>
      <w:r w:rsidRPr="00C000B2">
        <w:rPr>
          <w:i/>
        </w:rPr>
        <w:t>Harbor</w:t>
      </w:r>
      <w:proofErr w:type="spellEnd"/>
      <w:r w:rsidRPr="00C000B2">
        <w:rPr>
          <w:i/>
        </w:rPr>
        <w:t xml:space="preserve"> Perspectives in Medicine </w:t>
      </w:r>
      <w:r w:rsidRPr="00C000B2">
        <w:t>5(3): a021493.</w:t>
      </w:r>
    </w:p>
    <w:p w14:paraId="23FEC4A1" w14:textId="77777777" w:rsidR="00EF27EC" w:rsidRPr="00C000B2" w:rsidRDefault="00EF27EC" w:rsidP="00043D21">
      <w:pPr>
        <w:pStyle w:val="References"/>
      </w:pPr>
      <w:r w:rsidRPr="00C000B2">
        <w:t xml:space="preserve">Irshad U, </w:t>
      </w:r>
      <w:proofErr w:type="spellStart"/>
      <w:r w:rsidRPr="00C000B2">
        <w:t>Mahdy</w:t>
      </w:r>
      <w:proofErr w:type="spellEnd"/>
      <w:r w:rsidRPr="00C000B2">
        <w:t xml:space="preserve"> H, </w:t>
      </w:r>
      <w:proofErr w:type="spellStart"/>
      <w:r w:rsidRPr="00C000B2">
        <w:t>Tonismae</w:t>
      </w:r>
      <w:proofErr w:type="spellEnd"/>
      <w:r w:rsidRPr="00C000B2">
        <w:t xml:space="preserve"> T. 2022. </w:t>
      </w:r>
      <w:r w:rsidRPr="00233D86">
        <w:rPr>
          <w:i/>
        </w:rPr>
        <w:t xml:space="preserve">HIV </w:t>
      </w:r>
      <w:r w:rsidR="00233D86">
        <w:rPr>
          <w:i/>
        </w:rPr>
        <w:t>i</w:t>
      </w:r>
      <w:r w:rsidRPr="00233D86">
        <w:rPr>
          <w:i/>
        </w:rPr>
        <w:t>n Pregnancy</w:t>
      </w:r>
      <w:r w:rsidRPr="00C000B2">
        <w:t xml:space="preserve">. </w:t>
      </w:r>
      <w:proofErr w:type="spellStart"/>
      <w:r w:rsidRPr="00C000B2">
        <w:t>StatPearls</w:t>
      </w:r>
      <w:proofErr w:type="spellEnd"/>
      <w:r w:rsidRPr="00C000B2">
        <w:t xml:space="preserve">. Treasure Island (FL): </w:t>
      </w:r>
      <w:proofErr w:type="spellStart"/>
      <w:r w:rsidRPr="00C000B2">
        <w:t>StatPearls</w:t>
      </w:r>
      <w:proofErr w:type="spellEnd"/>
      <w:r w:rsidRPr="00C000B2">
        <w:t xml:space="preserve"> Publishing</w:t>
      </w:r>
      <w:r w:rsidR="00233D86">
        <w:t>.</w:t>
      </w:r>
    </w:p>
    <w:p w14:paraId="7FCA11A0" w14:textId="77777777" w:rsidR="00EF27EC" w:rsidRPr="00C000B2" w:rsidRDefault="00EF27EC" w:rsidP="00043D21">
      <w:pPr>
        <w:pStyle w:val="References"/>
      </w:pPr>
      <w:r w:rsidRPr="00C000B2">
        <w:t xml:space="preserve">Ministry of Health. 2018. </w:t>
      </w:r>
      <w:r w:rsidRPr="00233D86">
        <w:rPr>
          <w:i/>
        </w:rPr>
        <w:t xml:space="preserve">HIV </w:t>
      </w:r>
      <w:r w:rsidR="00233D86">
        <w:rPr>
          <w:i/>
        </w:rPr>
        <w:t>T</w:t>
      </w:r>
      <w:r w:rsidRPr="00233D86">
        <w:rPr>
          <w:i/>
        </w:rPr>
        <w:t xml:space="preserve">esting in </w:t>
      </w:r>
      <w:r w:rsidR="00233D86">
        <w:rPr>
          <w:i/>
        </w:rPr>
        <w:t>P</w:t>
      </w:r>
      <w:r w:rsidRPr="00233D86">
        <w:rPr>
          <w:i/>
        </w:rPr>
        <w:t>regnancy</w:t>
      </w:r>
      <w:r w:rsidRPr="00C000B2">
        <w:t xml:space="preserve">. URL: </w:t>
      </w:r>
      <w:hyperlink r:id="rId235" w:history="1">
        <w:r w:rsidR="00233D86" w:rsidRPr="00233D86">
          <w:rPr>
            <w:rStyle w:val="Hyperlink"/>
          </w:rPr>
          <w:t>https://www.health.govt.nz/your-health/pregnancy-and-kids/services-and-support-during-pregnancy/pregnancy-screening-tests/blood-tests-pregnancy/hiv-testing-pregnancy</w:t>
        </w:r>
      </w:hyperlink>
      <w:r w:rsidRPr="00C000B2">
        <w:t xml:space="preserve"> (accessed 14 January 2022).</w:t>
      </w:r>
    </w:p>
    <w:p w14:paraId="06132FB9" w14:textId="77777777" w:rsidR="00EF27EC" w:rsidRPr="00C000B2" w:rsidRDefault="00EF27EC" w:rsidP="00043D21">
      <w:pPr>
        <w:pStyle w:val="References"/>
      </w:pPr>
      <w:r w:rsidRPr="00C000B2">
        <w:t xml:space="preserve">Ministry of Health. 2020. </w:t>
      </w:r>
      <w:r w:rsidRPr="00233D86">
        <w:rPr>
          <w:i/>
        </w:rPr>
        <w:t xml:space="preserve">Pregnancy and </w:t>
      </w:r>
      <w:r w:rsidR="00233D86">
        <w:rPr>
          <w:i/>
        </w:rPr>
        <w:t>B</w:t>
      </w:r>
      <w:r w:rsidRPr="00233D86">
        <w:rPr>
          <w:i/>
        </w:rPr>
        <w:t>reastfeeding with HIV</w:t>
      </w:r>
      <w:r w:rsidRPr="00C000B2">
        <w:t xml:space="preserve">. URL: </w:t>
      </w:r>
      <w:hyperlink r:id="rId236" w:history="1">
        <w:r w:rsidR="00233D86" w:rsidRPr="00233D86">
          <w:rPr>
            <w:rStyle w:val="Hyperlink"/>
          </w:rPr>
          <w:t>https://www.health.govt.nz/your-health/conditions-and-treatments/diseases-and-illnesses/hiv-aids/pregnancy-and-breastfeeding-hiv</w:t>
        </w:r>
      </w:hyperlink>
      <w:r w:rsidRPr="00C000B2">
        <w:t xml:space="preserve"> (accessed 14 January 2022).</w:t>
      </w:r>
    </w:p>
    <w:p w14:paraId="291A84C8" w14:textId="77777777" w:rsidR="00EF27EC" w:rsidRPr="00C000B2" w:rsidRDefault="00EF27EC" w:rsidP="00043D21">
      <w:pPr>
        <w:pStyle w:val="References"/>
      </w:pPr>
      <w:r w:rsidRPr="00C000B2">
        <w:t xml:space="preserve">Momin B, Millman AJ, Nielsen DB, et al. 2018. Promising practices for the prevention of liver cancer: a review of the literature and cancer plan activities in the National Comprehensive Cancer Control Program. </w:t>
      </w:r>
      <w:r w:rsidRPr="00C000B2">
        <w:rPr>
          <w:i/>
        </w:rPr>
        <w:t xml:space="preserve">Cancer Causes &amp; Control </w:t>
      </w:r>
      <w:r w:rsidRPr="00C000B2">
        <w:t>29(12): 1265–75.</w:t>
      </w:r>
    </w:p>
    <w:p w14:paraId="7964A573" w14:textId="77777777" w:rsidR="00EF27EC" w:rsidRPr="00C000B2" w:rsidRDefault="00EF27EC" w:rsidP="00043D21">
      <w:pPr>
        <w:pStyle w:val="References"/>
      </w:pPr>
      <w:proofErr w:type="spellStart"/>
      <w:r w:rsidRPr="00C000B2">
        <w:t>Papatheodoridis</w:t>
      </w:r>
      <w:proofErr w:type="spellEnd"/>
      <w:r w:rsidRPr="00C000B2">
        <w:t xml:space="preserve"> GV, </w:t>
      </w:r>
      <w:proofErr w:type="spellStart"/>
      <w:r w:rsidRPr="00C000B2">
        <w:t>Lampertico</w:t>
      </w:r>
      <w:proofErr w:type="spellEnd"/>
      <w:r w:rsidRPr="00C000B2">
        <w:t xml:space="preserve"> P, </w:t>
      </w:r>
      <w:proofErr w:type="spellStart"/>
      <w:r w:rsidRPr="00C000B2">
        <w:t>Manolakopoulos</w:t>
      </w:r>
      <w:proofErr w:type="spellEnd"/>
      <w:r w:rsidRPr="00C000B2">
        <w:t xml:space="preserve"> S, et al. 2010. Incidence of hepatocellular carcinoma in chronic </w:t>
      </w:r>
      <w:r w:rsidR="009278A9">
        <w:t>hepatitis B</w:t>
      </w:r>
      <w:r w:rsidRPr="00C000B2">
        <w:t xml:space="preserve"> patients receiving </w:t>
      </w:r>
      <w:proofErr w:type="spellStart"/>
      <w:r w:rsidRPr="00C000B2">
        <w:t>nucleos</w:t>
      </w:r>
      <w:proofErr w:type="spellEnd"/>
      <w:r w:rsidRPr="00C000B2">
        <w:t xml:space="preserve">(t)ide therapy: a systematic review. </w:t>
      </w:r>
      <w:r w:rsidRPr="00C000B2">
        <w:rPr>
          <w:i/>
        </w:rPr>
        <w:t xml:space="preserve">Journal of Hepatology </w:t>
      </w:r>
      <w:r w:rsidRPr="00C000B2">
        <w:t>53(2): 348–56.</w:t>
      </w:r>
    </w:p>
    <w:p w14:paraId="252C20D8" w14:textId="77777777" w:rsidR="00EF27EC" w:rsidRPr="00C000B2" w:rsidRDefault="00EF27EC" w:rsidP="00043D21">
      <w:pPr>
        <w:pStyle w:val="References"/>
      </w:pPr>
      <w:r w:rsidRPr="00C000B2">
        <w:t xml:space="preserve">Sarin S, Kumar M, Lau G, et al. 2016. Asian-Pacific clinical practice guidelines on the management of </w:t>
      </w:r>
      <w:r w:rsidR="009278A9">
        <w:t>hepatitis B</w:t>
      </w:r>
      <w:r w:rsidRPr="00C000B2">
        <w:t xml:space="preserve">: a 2015 update. </w:t>
      </w:r>
      <w:r w:rsidRPr="00C000B2">
        <w:rPr>
          <w:i/>
        </w:rPr>
        <w:t>Hepatology International</w:t>
      </w:r>
      <w:r w:rsidR="00C827AC">
        <w:br/>
      </w:r>
      <w:r w:rsidRPr="00C000B2">
        <w:t>10(1): 1–98.</w:t>
      </w:r>
    </w:p>
    <w:p w14:paraId="28F4BFE2" w14:textId="77777777" w:rsidR="00EF27EC" w:rsidRPr="00C000B2" w:rsidRDefault="00EF27EC" w:rsidP="00043D21">
      <w:pPr>
        <w:pStyle w:val="References"/>
      </w:pPr>
      <w:r w:rsidRPr="00C000B2">
        <w:t xml:space="preserve">Hepatitis Foundation of New Zealand. </w:t>
      </w:r>
      <w:proofErr w:type="spellStart"/>
      <w:r w:rsidRPr="00C000B2">
        <w:t>nd</w:t>
      </w:r>
      <w:proofErr w:type="spellEnd"/>
      <w:r w:rsidRPr="00C000B2">
        <w:t xml:space="preserve">. </w:t>
      </w:r>
      <w:r w:rsidR="009278A9">
        <w:t>Hepatitis B</w:t>
      </w:r>
      <w:r w:rsidRPr="00C000B2">
        <w:t xml:space="preserve"> for health professionals. URL: </w:t>
      </w:r>
      <w:hyperlink r:id="rId237" w:history="1">
        <w:r w:rsidR="00C827AC" w:rsidRPr="00C827AC">
          <w:rPr>
            <w:rStyle w:val="Hyperlink"/>
          </w:rPr>
          <w:t>https://www.hepatitisfoundation.org.nz/healthcare-professionals/hepatitis-b-health-professionals</w:t>
        </w:r>
      </w:hyperlink>
      <w:r w:rsidRPr="00C000B2">
        <w:t xml:space="preserve"> (accessed 28 October 2021).</w:t>
      </w:r>
    </w:p>
    <w:p w14:paraId="50720A88" w14:textId="77777777" w:rsidR="00EF27EC" w:rsidRPr="00C000B2" w:rsidRDefault="00EF27EC" w:rsidP="00043D21">
      <w:pPr>
        <w:pStyle w:val="References"/>
      </w:pPr>
      <w:r w:rsidRPr="00C000B2">
        <w:t xml:space="preserve">Sugano K. 2019. Effect of </w:t>
      </w:r>
      <w:r w:rsidRPr="00C000B2">
        <w:rPr>
          <w:i/>
        </w:rPr>
        <w:t xml:space="preserve">Helicobacter pylori </w:t>
      </w:r>
      <w:r w:rsidRPr="00C000B2">
        <w:t xml:space="preserve">eradication on the incidence of gastric cancer: a systematic review and meta-analysis. </w:t>
      </w:r>
      <w:r w:rsidRPr="00C000B2">
        <w:rPr>
          <w:i/>
        </w:rPr>
        <w:t>Gastric Cancer</w:t>
      </w:r>
      <w:r w:rsidR="00C827AC">
        <w:br/>
      </w:r>
      <w:r w:rsidRPr="00C000B2">
        <w:t>22(3): 435–45.</w:t>
      </w:r>
    </w:p>
    <w:p w14:paraId="420ADD8C" w14:textId="77777777" w:rsidR="00EF27EC" w:rsidRPr="00C000B2" w:rsidRDefault="00EF27EC" w:rsidP="00C827AC">
      <w:pPr>
        <w:pStyle w:val="References"/>
        <w:keepNext/>
        <w:keepLines/>
      </w:pPr>
      <w:r w:rsidRPr="00C000B2">
        <w:lastRenderedPageBreak/>
        <w:t xml:space="preserve">Lee Y-C, Chiang T-H, Chou C-K, et al. 2016. Association between </w:t>
      </w:r>
      <w:r w:rsidRPr="00C000B2">
        <w:rPr>
          <w:i/>
        </w:rPr>
        <w:t xml:space="preserve">Helicobacter pylori </w:t>
      </w:r>
      <w:r w:rsidRPr="00C000B2">
        <w:t xml:space="preserve">eradication and gastric cancer incidence: a systematic review and meta-analysis. </w:t>
      </w:r>
      <w:r w:rsidRPr="00C000B2">
        <w:rPr>
          <w:i/>
        </w:rPr>
        <w:t xml:space="preserve">Gastroenterology </w:t>
      </w:r>
      <w:r w:rsidRPr="00C000B2">
        <w:t>150(5): 1113–24. e1115.</w:t>
      </w:r>
    </w:p>
    <w:p w14:paraId="35E20B0B" w14:textId="77777777" w:rsidR="00EF27EC" w:rsidRPr="00C000B2" w:rsidRDefault="00EF27EC" w:rsidP="00043D21">
      <w:pPr>
        <w:pStyle w:val="References"/>
      </w:pPr>
      <w:r w:rsidRPr="00C000B2">
        <w:t xml:space="preserve">Ford AC, Yuan Y, </w:t>
      </w:r>
      <w:proofErr w:type="spellStart"/>
      <w:r w:rsidRPr="00C000B2">
        <w:t>Moayyedi</w:t>
      </w:r>
      <w:proofErr w:type="spellEnd"/>
      <w:r w:rsidRPr="00C000B2">
        <w:t xml:space="preserve"> P. 2020. </w:t>
      </w:r>
      <w:r w:rsidRPr="00C000B2">
        <w:rPr>
          <w:i/>
        </w:rPr>
        <w:t xml:space="preserve">Helicobacter pylori </w:t>
      </w:r>
      <w:r w:rsidRPr="00C000B2">
        <w:t xml:space="preserve">eradication therapy to prevent gastric cancer: systematic review and meta-analysis. </w:t>
      </w:r>
      <w:r w:rsidRPr="00C000B2">
        <w:rPr>
          <w:i/>
        </w:rPr>
        <w:t xml:space="preserve">Gut </w:t>
      </w:r>
      <w:r w:rsidRPr="00C000B2">
        <w:t>69(12): 2113–21.</w:t>
      </w:r>
    </w:p>
    <w:p w14:paraId="3BCE6DE7" w14:textId="77777777" w:rsidR="00EF27EC" w:rsidRPr="00C000B2" w:rsidRDefault="00EF27EC" w:rsidP="00043D21">
      <w:pPr>
        <w:pStyle w:val="References"/>
      </w:pPr>
      <w:r w:rsidRPr="00C000B2">
        <w:t xml:space="preserve">Park JY, Von </w:t>
      </w:r>
      <w:proofErr w:type="spellStart"/>
      <w:r w:rsidRPr="00C000B2">
        <w:t>Karsa</w:t>
      </w:r>
      <w:proofErr w:type="spellEnd"/>
      <w:r w:rsidRPr="00C000B2">
        <w:t xml:space="preserve"> L, Herrero R. 2014. Prevention strategies for gastric cancer: a global perspective. </w:t>
      </w:r>
      <w:r w:rsidRPr="00C000B2">
        <w:rPr>
          <w:i/>
        </w:rPr>
        <w:t xml:space="preserve">Clinical Endoscopy </w:t>
      </w:r>
      <w:r w:rsidRPr="00C000B2">
        <w:t>47(6): 478.</w:t>
      </w:r>
    </w:p>
    <w:p w14:paraId="795B06A3" w14:textId="77777777" w:rsidR="00EF27EC" w:rsidRPr="00C000B2" w:rsidRDefault="00EF27EC" w:rsidP="00043D21">
      <w:pPr>
        <w:pStyle w:val="References"/>
      </w:pPr>
      <w:r w:rsidRPr="00C000B2">
        <w:t xml:space="preserve">Herrero R, Park JY, Forman D. 2014. The fight against gastric cancer – the IARC Working Group report. </w:t>
      </w:r>
      <w:r w:rsidRPr="00C000B2">
        <w:rPr>
          <w:i/>
        </w:rPr>
        <w:t xml:space="preserve">Best Practice &amp; Research: Clinical Gastroenterology </w:t>
      </w:r>
      <w:r w:rsidRPr="00C000B2">
        <w:t>28(6):</w:t>
      </w:r>
      <w:r w:rsidR="00C827AC">
        <w:t> </w:t>
      </w:r>
      <w:r w:rsidRPr="00C000B2">
        <w:t>1107–14.</w:t>
      </w:r>
    </w:p>
    <w:p w14:paraId="341AA59C" w14:textId="77777777" w:rsidR="00EF27EC" w:rsidRPr="00C000B2" w:rsidRDefault="00EF27EC" w:rsidP="00043D21">
      <w:pPr>
        <w:pStyle w:val="References"/>
      </w:pPr>
      <w:r w:rsidRPr="00C000B2">
        <w:t xml:space="preserve">Sugano K. 2016. Screening of gastric cancer in Asia. </w:t>
      </w:r>
      <w:r w:rsidRPr="00C000B2">
        <w:rPr>
          <w:i/>
        </w:rPr>
        <w:t>Best Practice &amp; Research Clinical Gastroenterology</w:t>
      </w:r>
      <w:r w:rsidRPr="00C000B2">
        <w:t>. 29(6): 895</w:t>
      </w:r>
      <w:r w:rsidR="00C827AC">
        <w:t>–</w:t>
      </w:r>
      <w:r w:rsidRPr="00C000B2">
        <w:t>905.</w:t>
      </w:r>
    </w:p>
    <w:p w14:paraId="7D501807" w14:textId="77777777" w:rsidR="00EF27EC" w:rsidRPr="00C000B2" w:rsidRDefault="00EF27EC" w:rsidP="00043D21">
      <w:pPr>
        <w:pStyle w:val="References"/>
      </w:pPr>
      <w:r w:rsidRPr="00C000B2">
        <w:t xml:space="preserve">Chiang T, Chang W, Chen SL, et al. 2021. Mass eradication of </w:t>
      </w:r>
      <w:r w:rsidRPr="00C827AC">
        <w:rPr>
          <w:i/>
        </w:rPr>
        <w:t>Helicobacter pylori</w:t>
      </w:r>
      <w:r w:rsidRPr="00C000B2">
        <w:t xml:space="preserve"> to reduce gastric cancer incidence and mortality: a long-term cohort study on Matsu Islands. </w:t>
      </w:r>
      <w:r w:rsidRPr="00C000B2">
        <w:rPr>
          <w:i/>
        </w:rPr>
        <w:t xml:space="preserve">Gut </w:t>
      </w:r>
      <w:r w:rsidRPr="00C000B2">
        <w:t>70: 243</w:t>
      </w:r>
      <w:r w:rsidR="00C827AC">
        <w:t>–</w:t>
      </w:r>
      <w:r w:rsidRPr="00C000B2">
        <w:t>50.</w:t>
      </w:r>
    </w:p>
    <w:p w14:paraId="04B6B3E4" w14:textId="77777777" w:rsidR="00EF27EC" w:rsidRPr="00C000B2" w:rsidRDefault="00EF27EC" w:rsidP="00043D21">
      <w:pPr>
        <w:pStyle w:val="References"/>
      </w:pPr>
      <w:r w:rsidRPr="00C000B2">
        <w:t xml:space="preserve">Teng AM, </w:t>
      </w:r>
      <w:proofErr w:type="spellStart"/>
      <w:r w:rsidRPr="00C000B2">
        <w:t>Kvizhinadze</w:t>
      </w:r>
      <w:proofErr w:type="spellEnd"/>
      <w:r w:rsidRPr="00C000B2">
        <w:t xml:space="preserve"> G, Nair N, et al. 2017. A screening program to test and treat for </w:t>
      </w:r>
      <w:r w:rsidRPr="00C827AC">
        <w:rPr>
          <w:i/>
        </w:rPr>
        <w:t>Helicobacter pylori</w:t>
      </w:r>
      <w:r w:rsidR="00C827AC">
        <w:t xml:space="preserve"> </w:t>
      </w:r>
      <w:r w:rsidRPr="00C000B2">
        <w:t>infection: cost</w:t>
      </w:r>
      <w:r w:rsidR="00C827AC">
        <w:t>–</w:t>
      </w:r>
      <w:r w:rsidRPr="00C000B2">
        <w:t xml:space="preserve">utility analysis by age, </w:t>
      </w:r>
      <w:proofErr w:type="gramStart"/>
      <w:r w:rsidRPr="00C000B2">
        <w:t>sex</w:t>
      </w:r>
      <w:proofErr w:type="gramEnd"/>
      <w:r w:rsidRPr="00C000B2">
        <w:t xml:space="preserve"> and ethnicity. </w:t>
      </w:r>
      <w:r w:rsidRPr="00C827AC">
        <w:rPr>
          <w:i/>
        </w:rPr>
        <w:t xml:space="preserve">BMC Infectious Diseases </w:t>
      </w:r>
      <w:r w:rsidRPr="00C827AC">
        <w:t>17(1</w:t>
      </w:r>
      <w:r w:rsidRPr="00C000B2">
        <w:t>): 156.</w:t>
      </w:r>
    </w:p>
    <w:p w14:paraId="701FE24E" w14:textId="77777777" w:rsidR="00EF27EC" w:rsidRPr="00C000B2" w:rsidRDefault="00EF27EC" w:rsidP="00043D21">
      <w:pPr>
        <w:pStyle w:val="References"/>
      </w:pPr>
      <w:r w:rsidRPr="00C000B2">
        <w:t xml:space="preserve">BPAC. 2009. </w:t>
      </w:r>
      <w:r w:rsidRPr="00C827AC">
        <w:rPr>
          <w:i/>
        </w:rPr>
        <w:t xml:space="preserve">Non-occupational </w:t>
      </w:r>
      <w:r w:rsidR="00C827AC" w:rsidRPr="00C827AC">
        <w:rPr>
          <w:i/>
        </w:rPr>
        <w:t>E</w:t>
      </w:r>
      <w:r w:rsidRPr="00C827AC">
        <w:rPr>
          <w:i/>
        </w:rPr>
        <w:t>xposure to Human Immunodeficiency Virus (HIV)</w:t>
      </w:r>
      <w:r w:rsidRPr="00C000B2">
        <w:t xml:space="preserve">. URL: </w:t>
      </w:r>
      <w:hyperlink r:id="rId238" w:history="1">
        <w:r w:rsidR="00C827AC" w:rsidRPr="00C827AC">
          <w:rPr>
            <w:rStyle w:val="Hyperlink"/>
          </w:rPr>
          <w:t>https://bpac.org.nz/BPJ/2009/December/docs/bpj25_hiv_pages28-35.pdf</w:t>
        </w:r>
      </w:hyperlink>
      <w:r w:rsidRPr="00C000B2">
        <w:t xml:space="preserve"> (accessed 14 January 2022).</w:t>
      </w:r>
    </w:p>
    <w:p w14:paraId="1239B82F" w14:textId="77777777" w:rsidR="00EF27EC" w:rsidRPr="00C000B2" w:rsidRDefault="00EF27EC" w:rsidP="00043D21">
      <w:pPr>
        <w:pStyle w:val="References"/>
      </w:pPr>
      <w:r w:rsidRPr="00C000B2">
        <w:t xml:space="preserve">New Zealand AIDS Foundation. </w:t>
      </w:r>
      <w:proofErr w:type="spellStart"/>
      <w:r w:rsidRPr="00C000B2">
        <w:t>nd</w:t>
      </w:r>
      <w:proofErr w:type="spellEnd"/>
      <w:r w:rsidRPr="00C000B2">
        <w:t xml:space="preserve">. </w:t>
      </w:r>
      <w:r w:rsidRPr="00C827AC">
        <w:rPr>
          <w:i/>
        </w:rPr>
        <w:t>All about Testing</w:t>
      </w:r>
      <w:r w:rsidRPr="00C000B2">
        <w:t xml:space="preserve">. URL: </w:t>
      </w:r>
      <w:hyperlink r:id="rId239" w:history="1">
        <w:r w:rsidR="00C827AC" w:rsidRPr="00C827AC">
          <w:rPr>
            <w:rStyle w:val="Hyperlink"/>
          </w:rPr>
          <w:t>https://www.nzaf.org.nz/awareness-and-prevention/getting-tested/all-about-testing/</w:t>
        </w:r>
      </w:hyperlink>
      <w:r w:rsidRPr="00C000B2">
        <w:t xml:space="preserve"> (accessed 14 January 2022).</w:t>
      </w:r>
    </w:p>
    <w:p w14:paraId="4B5BA1A4" w14:textId="77777777" w:rsidR="00EF27EC" w:rsidRPr="00C000B2" w:rsidRDefault="00EF27EC" w:rsidP="00043D21">
      <w:pPr>
        <w:pStyle w:val="References"/>
      </w:pPr>
      <w:r w:rsidRPr="00C000B2">
        <w:t xml:space="preserve">McAllister S, van </w:t>
      </w:r>
      <w:proofErr w:type="spellStart"/>
      <w:r w:rsidRPr="00C000B2">
        <w:t>Asten</w:t>
      </w:r>
      <w:proofErr w:type="spellEnd"/>
      <w:r w:rsidRPr="00C000B2">
        <w:t xml:space="preserve"> H, </w:t>
      </w:r>
      <w:proofErr w:type="spellStart"/>
      <w:r w:rsidRPr="00C000B2">
        <w:t>Anglemyer</w:t>
      </w:r>
      <w:proofErr w:type="spellEnd"/>
      <w:r w:rsidRPr="00C000B2">
        <w:t xml:space="preserve"> A, et al. 2021. Cascade of care of people diagnosed with HIV in New Zealand between 2006 and 2017. </w:t>
      </w:r>
      <w:r w:rsidRPr="00C000B2">
        <w:rPr>
          <w:i/>
        </w:rPr>
        <w:t xml:space="preserve">HIV Medicine </w:t>
      </w:r>
      <w:r w:rsidRPr="00C000B2">
        <w:t>22(2):</w:t>
      </w:r>
      <w:r w:rsidR="00C827AC">
        <w:t> </w:t>
      </w:r>
      <w:r w:rsidRPr="00C000B2">
        <w:t>122</w:t>
      </w:r>
      <w:r w:rsidR="00C827AC">
        <w:t>–</w:t>
      </w:r>
      <w:r w:rsidRPr="00C000B2">
        <w:t>30.</w:t>
      </w:r>
    </w:p>
    <w:p w14:paraId="1554DDC2" w14:textId="77777777" w:rsidR="00EF27EC" w:rsidRDefault="00EF27EC" w:rsidP="00043D21">
      <w:pPr>
        <w:pStyle w:val="References"/>
      </w:pPr>
      <w:r w:rsidRPr="00C000B2">
        <w:t xml:space="preserve">Ministry of Health. 2021. </w:t>
      </w:r>
      <w:r w:rsidRPr="00C000B2">
        <w:rPr>
          <w:i/>
        </w:rPr>
        <w:t xml:space="preserve">Proposals for a </w:t>
      </w:r>
      <w:proofErr w:type="spellStart"/>
      <w:r w:rsidRPr="00C000B2">
        <w:rPr>
          <w:i/>
        </w:rPr>
        <w:t>Smokefree</w:t>
      </w:r>
      <w:proofErr w:type="spellEnd"/>
      <w:r w:rsidRPr="00C000B2">
        <w:rPr>
          <w:i/>
        </w:rPr>
        <w:t xml:space="preserve"> Aotearoa 2025 Action Plan: Discussion document</w:t>
      </w:r>
      <w:r w:rsidRPr="00C000B2">
        <w:t>. Wellington: Ministry of Health.</w:t>
      </w:r>
    </w:p>
    <w:p w14:paraId="73CC1265" w14:textId="77777777" w:rsidR="00C827AC" w:rsidRPr="00C000B2" w:rsidRDefault="00C827AC" w:rsidP="00C827AC"/>
    <w:sectPr w:rsidR="00C827AC" w:rsidRPr="00C000B2" w:rsidSect="002B7BEC">
      <w:footerReference w:type="even" r:id="rId240"/>
      <w:footerReference w:type="default" r:id="rId241"/>
      <w:endnotePr>
        <w:numFmt w:val="decimal"/>
      </w:endnotePr>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92D12" w14:textId="77777777" w:rsidR="007001C2" w:rsidRDefault="007001C2">
      <w:r>
        <w:separator/>
      </w:r>
    </w:p>
    <w:p w14:paraId="6DE2F14A" w14:textId="77777777" w:rsidR="007001C2" w:rsidRDefault="007001C2"/>
  </w:endnote>
  <w:endnote w:type="continuationSeparator" w:id="0">
    <w:p w14:paraId="2673C778" w14:textId="77777777" w:rsidR="007001C2" w:rsidRDefault="007001C2">
      <w:r>
        <w:continuationSeparator/>
      </w:r>
    </w:p>
    <w:p w14:paraId="42B80263" w14:textId="77777777" w:rsidR="007001C2" w:rsidRDefault="00700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altName w:val="Fira Sans"/>
    <w:charset w:val="00"/>
    <w:family w:val="swiss"/>
    <w:pitch w:val="variable"/>
    <w:sig w:usb0="600002FF" w:usb1="00000001" w:usb2="00000000" w:usb3="00000000" w:csb0="0000019F"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w:altName w:val="Arial"/>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altName w:val="Arial"/>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F7F39" w14:textId="77777777" w:rsidR="00D657A2" w:rsidRPr="005A79E5" w:rsidRDefault="00D657A2" w:rsidP="00CC6EA4">
    <w:pPr>
      <w:pStyle w:val="Footer"/>
      <w:pBdr>
        <w:bottom w:val="single" w:sz="4" w:space="1" w:color="auto"/>
      </w:pBdr>
      <w:tabs>
        <w:tab w:val="right" w:pos="9639"/>
      </w:tabs>
      <w:rPr>
        <w:sz w:val="2"/>
        <w:szCs w:val="2"/>
      </w:rPr>
    </w:pPr>
    <w:r w:rsidRPr="005718A6">
      <w:t>Released 20</w:t>
    </w:r>
    <w:r>
      <w:t>22</w:t>
    </w:r>
    <w:r w:rsidRPr="005718A6">
      <w:tab/>
    </w:r>
    <w:hyperlink r:id="rId1" w:history="1">
      <w:r w:rsidRPr="00CC6EA4">
        <w:rPr>
          <w:rStyle w:val="Hyperlink"/>
        </w:rPr>
        <w:t>teaho.govt.nz</w:t>
      </w:r>
    </w:hyperlink>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D657A2" w14:paraId="735B5055" w14:textId="77777777" w:rsidTr="00B13C0B">
      <w:trPr>
        <w:cantSplit/>
      </w:trPr>
      <w:tc>
        <w:tcPr>
          <w:tcW w:w="709" w:type="dxa"/>
          <w:vAlign w:val="center"/>
        </w:tcPr>
        <w:p w14:paraId="68F3919E" w14:textId="77777777" w:rsidR="00D657A2" w:rsidRDefault="00D657A2" w:rsidP="00120C4C">
          <w:pPr>
            <w:pStyle w:val="RectoFooter"/>
            <w:spacing w:before="120"/>
            <w:jc w:val="left"/>
          </w:pPr>
          <w:r>
            <w:rPr>
              <w:noProof/>
              <w:lang w:eastAsia="en-NZ"/>
            </w:rPr>
            <w:drawing>
              <wp:inline distT="0" distB="0" distL="0" distR="0" wp14:anchorId="2462F8B9" wp14:editId="47FC15CB">
                <wp:extent cx="373711" cy="414082"/>
                <wp:effectExtent l="0" t="0" r="7620" b="508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3265A39" w14:textId="77777777" w:rsidR="00D657A2" w:rsidRDefault="00D657A2" w:rsidP="007740F9">
          <w:pPr>
            <w:pStyle w:val="RectoFooter"/>
            <w:spacing w:before="120"/>
            <w:jc w:val="left"/>
          </w:pPr>
          <w:r w:rsidRPr="007740F9">
            <w:t>Pūrongo</w:t>
          </w:r>
          <w:r w:rsidRPr="007740F9">
            <w:rPr>
              <w:spacing w:val="-6"/>
            </w:rPr>
            <w:t xml:space="preserve"> </w:t>
          </w:r>
          <w:r w:rsidRPr="007740F9">
            <w:t>Ārai</w:t>
          </w:r>
          <w:r w:rsidRPr="007740F9">
            <w:rPr>
              <w:spacing w:val="-5"/>
            </w:rPr>
            <w:t xml:space="preserve"> </w:t>
          </w:r>
          <w:r w:rsidRPr="007740F9">
            <w:t>Mate</w:t>
          </w:r>
          <w:r w:rsidRPr="007740F9">
            <w:rPr>
              <w:spacing w:val="-6"/>
            </w:rPr>
            <w:t xml:space="preserve"> </w:t>
          </w:r>
          <w:r w:rsidRPr="007740F9">
            <w:t>Pukupuku</w:t>
          </w:r>
          <w:r w:rsidRPr="007740F9">
            <w:rPr>
              <w:spacing w:val="-5"/>
            </w:rPr>
            <w:t xml:space="preserve"> </w:t>
          </w:r>
          <w:r w:rsidRPr="007740F9">
            <w:t>|</w:t>
          </w:r>
          <w:r w:rsidRPr="007740F9">
            <w:rPr>
              <w:spacing w:val="-5"/>
            </w:rPr>
            <w:t xml:space="preserve"> </w:t>
          </w:r>
          <w:r w:rsidRPr="007740F9">
            <w:t>Cance</w:t>
          </w:r>
          <w:r>
            <w:t>R Prevention Report</w:t>
          </w:r>
        </w:p>
      </w:tc>
      <w:tc>
        <w:tcPr>
          <w:tcW w:w="709" w:type="dxa"/>
          <w:vAlign w:val="center"/>
        </w:tcPr>
        <w:p w14:paraId="51603843" w14:textId="77777777" w:rsidR="00D657A2" w:rsidRPr="00931466" w:rsidRDefault="00D657A2"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67</w:t>
          </w:r>
          <w:r w:rsidRPr="00931466">
            <w:rPr>
              <w:rStyle w:val="PageNumber"/>
            </w:rPr>
            <w:fldChar w:fldCharType="end"/>
          </w:r>
        </w:p>
      </w:tc>
    </w:tr>
  </w:tbl>
  <w:p w14:paraId="1125BF99" w14:textId="77777777" w:rsidR="00D657A2" w:rsidRPr="00581EB8" w:rsidRDefault="00D657A2"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DD59B" w14:textId="77777777" w:rsidR="00D657A2" w:rsidRDefault="00D657A2"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081C7" w14:textId="77777777" w:rsidR="00D657A2" w:rsidRDefault="00D657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080"/>
      <w:gridCol w:w="992"/>
    </w:tblGrid>
    <w:tr w:rsidR="00D657A2" w14:paraId="02910BD9" w14:textId="77777777" w:rsidTr="00852C5D">
      <w:trPr>
        <w:cantSplit/>
      </w:trPr>
      <w:tc>
        <w:tcPr>
          <w:tcW w:w="675" w:type="dxa"/>
          <w:vAlign w:val="center"/>
        </w:tcPr>
        <w:p w14:paraId="605B01D7" w14:textId="77777777" w:rsidR="00D657A2" w:rsidRPr="00931466" w:rsidRDefault="00D657A2" w:rsidP="00C000B2">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1E62801B" w14:textId="77777777" w:rsidR="00D657A2" w:rsidRDefault="00D657A2" w:rsidP="00E6746A">
          <w:pPr>
            <w:pStyle w:val="RectoFooter"/>
            <w:ind w:left="-108"/>
          </w:pPr>
          <w:r w:rsidRPr="007740F9">
            <w:t>Pūrongo</w:t>
          </w:r>
          <w:r w:rsidRPr="007740F9">
            <w:rPr>
              <w:spacing w:val="-6"/>
            </w:rPr>
            <w:t xml:space="preserve"> </w:t>
          </w:r>
          <w:r w:rsidRPr="007740F9">
            <w:t>Ārai</w:t>
          </w:r>
          <w:r w:rsidRPr="007740F9">
            <w:rPr>
              <w:spacing w:val="-5"/>
            </w:rPr>
            <w:t xml:space="preserve"> </w:t>
          </w:r>
          <w:r w:rsidRPr="007740F9">
            <w:t>Mate</w:t>
          </w:r>
          <w:r w:rsidRPr="007740F9">
            <w:rPr>
              <w:spacing w:val="-6"/>
            </w:rPr>
            <w:t xml:space="preserve"> </w:t>
          </w:r>
          <w:r w:rsidRPr="007740F9">
            <w:t>Pukupuku</w:t>
          </w:r>
          <w:r w:rsidRPr="007740F9">
            <w:rPr>
              <w:spacing w:val="-5"/>
            </w:rPr>
            <w:t xml:space="preserve"> </w:t>
          </w:r>
          <w:r w:rsidRPr="007740F9">
            <w:t>|</w:t>
          </w:r>
          <w:r w:rsidRPr="007740F9">
            <w:rPr>
              <w:spacing w:val="-5"/>
            </w:rPr>
            <w:t xml:space="preserve"> </w:t>
          </w:r>
          <w:r w:rsidRPr="007740F9">
            <w:t>Cance</w:t>
          </w:r>
          <w:r>
            <w:t>R Prevention Report</w:t>
          </w:r>
        </w:p>
      </w:tc>
      <w:tc>
        <w:tcPr>
          <w:tcW w:w="992" w:type="dxa"/>
          <w:vAlign w:val="center"/>
        </w:tcPr>
        <w:p w14:paraId="43D94DF8" w14:textId="77777777" w:rsidR="00D657A2" w:rsidRDefault="00D657A2" w:rsidP="00C000B2">
          <w:pPr>
            <w:pStyle w:val="RectoFooter"/>
            <w:ind w:left="-108"/>
          </w:pPr>
          <w:r>
            <w:rPr>
              <w:noProof/>
              <w:lang w:eastAsia="en-NZ"/>
            </w:rPr>
            <w:drawing>
              <wp:inline distT="0" distB="0" distL="0" distR="0" wp14:anchorId="152453DE" wp14:editId="76C30989">
                <wp:extent cx="373711" cy="414082"/>
                <wp:effectExtent l="0" t="0" r="7620" b="508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8034C3" w14:textId="77777777" w:rsidR="00D657A2" w:rsidRPr="00571223" w:rsidRDefault="00D657A2"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51"/>
      <w:gridCol w:w="7229"/>
      <w:gridCol w:w="709"/>
    </w:tblGrid>
    <w:tr w:rsidR="00D657A2" w14:paraId="13DB4C5B" w14:textId="77777777" w:rsidTr="00C000B2">
      <w:trPr>
        <w:cantSplit/>
      </w:trPr>
      <w:tc>
        <w:tcPr>
          <w:tcW w:w="851" w:type="dxa"/>
          <w:vAlign w:val="center"/>
        </w:tcPr>
        <w:p w14:paraId="65EC539F" w14:textId="77777777" w:rsidR="00D657A2" w:rsidRDefault="00D657A2" w:rsidP="00120C4C">
          <w:pPr>
            <w:pStyle w:val="RectoFooter"/>
            <w:spacing w:before="120"/>
            <w:jc w:val="left"/>
          </w:pPr>
          <w:r>
            <w:rPr>
              <w:noProof/>
              <w:lang w:eastAsia="en-NZ"/>
            </w:rPr>
            <w:drawing>
              <wp:inline distT="0" distB="0" distL="0" distR="0" wp14:anchorId="23F99077" wp14:editId="2EEBFDE2">
                <wp:extent cx="373711" cy="414082"/>
                <wp:effectExtent l="0" t="0" r="7620" b="508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vAlign w:val="center"/>
        </w:tcPr>
        <w:p w14:paraId="3650D9B2" w14:textId="77777777" w:rsidR="00D657A2" w:rsidRDefault="00D657A2" w:rsidP="007740F9">
          <w:pPr>
            <w:pStyle w:val="RectoFooter"/>
            <w:spacing w:before="120"/>
            <w:jc w:val="left"/>
          </w:pPr>
          <w:r w:rsidRPr="007740F9">
            <w:t>Pūrongo</w:t>
          </w:r>
          <w:r w:rsidRPr="007740F9">
            <w:rPr>
              <w:spacing w:val="-6"/>
            </w:rPr>
            <w:t xml:space="preserve"> </w:t>
          </w:r>
          <w:r w:rsidRPr="007740F9">
            <w:t>Ārai</w:t>
          </w:r>
          <w:r w:rsidRPr="007740F9">
            <w:rPr>
              <w:spacing w:val="-5"/>
            </w:rPr>
            <w:t xml:space="preserve"> </w:t>
          </w:r>
          <w:r w:rsidRPr="007740F9">
            <w:t>Mate</w:t>
          </w:r>
          <w:r w:rsidRPr="007740F9">
            <w:rPr>
              <w:spacing w:val="-6"/>
            </w:rPr>
            <w:t xml:space="preserve"> </w:t>
          </w:r>
          <w:r w:rsidRPr="007740F9">
            <w:t>Pukupuku</w:t>
          </w:r>
          <w:r w:rsidRPr="007740F9">
            <w:rPr>
              <w:spacing w:val="-5"/>
            </w:rPr>
            <w:t xml:space="preserve"> </w:t>
          </w:r>
          <w:r w:rsidRPr="007740F9">
            <w:t>|</w:t>
          </w:r>
          <w:r w:rsidRPr="007740F9">
            <w:rPr>
              <w:spacing w:val="-5"/>
            </w:rPr>
            <w:t xml:space="preserve"> </w:t>
          </w:r>
          <w:r w:rsidRPr="007740F9">
            <w:t>Cance</w:t>
          </w:r>
          <w:r>
            <w:t>R Prevention Report</w:t>
          </w:r>
        </w:p>
      </w:tc>
      <w:tc>
        <w:tcPr>
          <w:tcW w:w="709" w:type="dxa"/>
          <w:vAlign w:val="center"/>
        </w:tcPr>
        <w:p w14:paraId="56BC60D2" w14:textId="77777777" w:rsidR="00D657A2" w:rsidRPr="00931466" w:rsidRDefault="00D657A2"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5F0D0065" w14:textId="77777777" w:rsidR="00D657A2" w:rsidRPr="00581EB8" w:rsidRDefault="00D657A2"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080"/>
      <w:gridCol w:w="992"/>
    </w:tblGrid>
    <w:tr w:rsidR="00D657A2" w14:paraId="04EBDD86" w14:textId="77777777" w:rsidTr="00852C5D">
      <w:trPr>
        <w:cantSplit/>
      </w:trPr>
      <w:tc>
        <w:tcPr>
          <w:tcW w:w="675" w:type="dxa"/>
          <w:vAlign w:val="center"/>
        </w:tcPr>
        <w:p w14:paraId="1851E434" w14:textId="77777777" w:rsidR="00D657A2" w:rsidRPr="00931466" w:rsidRDefault="00D657A2" w:rsidP="00C000B2">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8AC506C" w14:textId="77777777" w:rsidR="00D657A2" w:rsidRDefault="00D657A2" w:rsidP="00DF2609">
          <w:pPr>
            <w:pStyle w:val="RectoFooter"/>
            <w:ind w:left="-108"/>
          </w:pPr>
          <w:r w:rsidRPr="007740F9">
            <w:t>Pūrongo</w:t>
          </w:r>
          <w:r w:rsidRPr="007740F9">
            <w:rPr>
              <w:spacing w:val="-6"/>
            </w:rPr>
            <w:t xml:space="preserve"> </w:t>
          </w:r>
          <w:r w:rsidRPr="007740F9">
            <w:t>Ārai</w:t>
          </w:r>
          <w:r w:rsidRPr="007740F9">
            <w:rPr>
              <w:spacing w:val="-5"/>
            </w:rPr>
            <w:t xml:space="preserve"> </w:t>
          </w:r>
          <w:r w:rsidRPr="007740F9">
            <w:t>Mate</w:t>
          </w:r>
          <w:r w:rsidRPr="007740F9">
            <w:rPr>
              <w:spacing w:val="-6"/>
            </w:rPr>
            <w:t xml:space="preserve"> </w:t>
          </w:r>
          <w:r w:rsidRPr="007740F9">
            <w:t>Pukupuku</w:t>
          </w:r>
          <w:r w:rsidRPr="007740F9">
            <w:rPr>
              <w:spacing w:val="-5"/>
            </w:rPr>
            <w:t xml:space="preserve"> </w:t>
          </w:r>
          <w:r w:rsidRPr="007740F9">
            <w:t>|</w:t>
          </w:r>
          <w:r w:rsidRPr="007740F9">
            <w:rPr>
              <w:spacing w:val="-5"/>
            </w:rPr>
            <w:t xml:space="preserve"> </w:t>
          </w:r>
          <w:r w:rsidRPr="007740F9">
            <w:t>Cance</w:t>
          </w:r>
          <w:r>
            <w:t>R Prevention Report</w:t>
          </w:r>
        </w:p>
      </w:tc>
      <w:tc>
        <w:tcPr>
          <w:tcW w:w="992" w:type="dxa"/>
          <w:vAlign w:val="center"/>
        </w:tcPr>
        <w:p w14:paraId="2595F52F" w14:textId="77777777" w:rsidR="00D657A2" w:rsidRDefault="00D657A2" w:rsidP="00C000B2">
          <w:pPr>
            <w:pStyle w:val="RectoFooter"/>
            <w:ind w:left="-108"/>
          </w:pPr>
          <w:r>
            <w:rPr>
              <w:noProof/>
              <w:lang w:eastAsia="en-NZ"/>
            </w:rPr>
            <w:drawing>
              <wp:inline distT="0" distB="0" distL="0" distR="0" wp14:anchorId="6E15ADE0" wp14:editId="6D831C4B">
                <wp:extent cx="373711" cy="414082"/>
                <wp:effectExtent l="0" t="0" r="7620" b="508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9E2229" w14:textId="77777777" w:rsidR="00D657A2" w:rsidRPr="00571223" w:rsidRDefault="00D657A2"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D657A2" w14:paraId="63288ACC" w14:textId="77777777" w:rsidTr="00B13C0B">
      <w:trPr>
        <w:cantSplit/>
      </w:trPr>
      <w:tc>
        <w:tcPr>
          <w:tcW w:w="709" w:type="dxa"/>
          <w:vAlign w:val="center"/>
        </w:tcPr>
        <w:p w14:paraId="40E27276" w14:textId="77777777" w:rsidR="00D657A2" w:rsidRDefault="00D657A2" w:rsidP="00120C4C">
          <w:pPr>
            <w:pStyle w:val="RectoFooter"/>
            <w:spacing w:before="120"/>
            <w:jc w:val="left"/>
          </w:pPr>
          <w:r>
            <w:rPr>
              <w:noProof/>
              <w:lang w:eastAsia="en-NZ"/>
            </w:rPr>
            <w:drawing>
              <wp:inline distT="0" distB="0" distL="0" distR="0" wp14:anchorId="67EF9A79" wp14:editId="59E1651A">
                <wp:extent cx="373711" cy="414082"/>
                <wp:effectExtent l="0" t="0" r="7620" b="508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4A4DEF69" w14:textId="77777777" w:rsidR="00D657A2" w:rsidRDefault="00D657A2" w:rsidP="007740F9">
          <w:pPr>
            <w:pStyle w:val="RectoFooter"/>
            <w:spacing w:before="120"/>
            <w:jc w:val="left"/>
          </w:pPr>
          <w:r w:rsidRPr="007740F9">
            <w:t>Pūrongo</w:t>
          </w:r>
          <w:r w:rsidRPr="007740F9">
            <w:rPr>
              <w:spacing w:val="-6"/>
            </w:rPr>
            <w:t xml:space="preserve"> </w:t>
          </w:r>
          <w:r w:rsidRPr="007740F9">
            <w:t>Ārai</w:t>
          </w:r>
          <w:r w:rsidRPr="007740F9">
            <w:rPr>
              <w:spacing w:val="-5"/>
            </w:rPr>
            <w:t xml:space="preserve"> </w:t>
          </w:r>
          <w:r w:rsidRPr="007740F9">
            <w:t>Mate</w:t>
          </w:r>
          <w:r w:rsidRPr="007740F9">
            <w:rPr>
              <w:spacing w:val="-6"/>
            </w:rPr>
            <w:t xml:space="preserve"> </w:t>
          </w:r>
          <w:r w:rsidRPr="007740F9">
            <w:t>Pukupuku</w:t>
          </w:r>
          <w:r w:rsidRPr="007740F9">
            <w:rPr>
              <w:spacing w:val="-5"/>
            </w:rPr>
            <w:t xml:space="preserve"> </w:t>
          </w:r>
          <w:r w:rsidRPr="007740F9">
            <w:t>|</w:t>
          </w:r>
          <w:r w:rsidRPr="007740F9">
            <w:rPr>
              <w:spacing w:val="-5"/>
            </w:rPr>
            <w:t xml:space="preserve"> </w:t>
          </w:r>
          <w:r w:rsidRPr="007740F9">
            <w:t>Cance</w:t>
          </w:r>
          <w:r>
            <w:t>R Prevention Report</w:t>
          </w:r>
        </w:p>
      </w:tc>
      <w:tc>
        <w:tcPr>
          <w:tcW w:w="709" w:type="dxa"/>
          <w:vAlign w:val="center"/>
        </w:tcPr>
        <w:p w14:paraId="2AE6611E" w14:textId="77777777" w:rsidR="00D657A2" w:rsidRPr="00931466" w:rsidRDefault="00D657A2"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25619837" w14:textId="77777777" w:rsidR="00D657A2" w:rsidRPr="00581EB8" w:rsidRDefault="00D657A2"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080"/>
      <w:gridCol w:w="992"/>
    </w:tblGrid>
    <w:tr w:rsidR="00D657A2" w14:paraId="09CEA128" w14:textId="77777777" w:rsidTr="00C000B2">
      <w:trPr>
        <w:cantSplit/>
      </w:trPr>
      <w:tc>
        <w:tcPr>
          <w:tcW w:w="675" w:type="dxa"/>
          <w:vAlign w:val="center"/>
        </w:tcPr>
        <w:p w14:paraId="603512B0" w14:textId="77777777" w:rsidR="00D657A2" w:rsidRPr="00931466" w:rsidRDefault="00D657A2" w:rsidP="00C000B2">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w:t>
          </w:r>
          <w:r w:rsidRPr="00931466">
            <w:rPr>
              <w:rStyle w:val="PageNumber"/>
            </w:rPr>
            <w:fldChar w:fldCharType="end"/>
          </w:r>
        </w:p>
      </w:tc>
      <w:tc>
        <w:tcPr>
          <w:tcW w:w="8080" w:type="dxa"/>
          <w:vAlign w:val="center"/>
        </w:tcPr>
        <w:p w14:paraId="6F1AC51F" w14:textId="77777777" w:rsidR="00D657A2" w:rsidRDefault="00D657A2" w:rsidP="00C000B2">
          <w:pPr>
            <w:pStyle w:val="RectoFooter"/>
            <w:ind w:left="-108"/>
          </w:pPr>
          <w:r>
            <w:t>[title]: [subhead]</w:t>
          </w:r>
        </w:p>
      </w:tc>
      <w:tc>
        <w:tcPr>
          <w:tcW w:w="992" w:type="dxa"/>
          <w:vAlign w:val="center"/>
        </w:tcPr>
        <w:p w14:paraId="710938A2" w14:textId="77777777" w:rsidR="00D657A2" w:rsidRDefault="00D657A2" w:rsidP="00C000B2">
          <w:pPr>
            <w:pStyle w:val="RectoFooter"/>
            <w:ind w:left="-108"/>
          </w:pPr>
          <w:r>
            <w:rPr>
              <w:noProof/>
              <w:lang w:eastAsia="en-NZ"/>
            </w:rPr>
            <w:drawing>
              <wp:inline distT="0" distB="0" distL="0" distR="0" wp14:anchorId="770CFF6C" wp14:editId="7E839761">
                <wp:extent cx="373711" cy="414082"/>
                <wp:effectExtent l="0" t="0" r="7620" b="508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092A36" w14:textId="77777777" w:rsidR="00D657A2" w:rsidRPr="00571223" w:rsidRDefault="00D657A2"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222"/>
      <w:gridCol w:w="850"/>
    </w:tblGrid>
    <w:tr w:rsidR="00D657A2" w14:paraId="0B2D37D9" w14:textId="77777777" w:rsidTr="00B13C0B">
      <w:trPr>
        <w:cantSplit/>
      </w:trPr>
      <w:tc>
        <w:tcPr>
          <w:tcW w:w="675" w:type="dxa"/>
          <w:vAlign w:val="center"/>
        </w:tcPr>
        <w:p w14:paraId="7EA27670" w14:textId="77777777" w:rsidR="00D657A2" w:rsidRPr="00931466" w:rsidRDefault="00D657A2"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82</w:t>
          </w:r>
          <w:r w:rsidRPr="00931466">
            <w:rPr>
              <w:rStyle w:val="PageNumber"/>
            </w:rPr>
            <w:fldChar w:fldCharType="end"/>
          </w:r>
        </w:p>
      </w:tc>
      <w:tc>
        <w:tcPr>
          <w:tcW w:w="8222" w:type="dxa"/>
          <w:vAlign w:val="center"/>
        </w:tcPr>
        <w:p w14:paraId="39A6A9AA" w14:textId="77777777" w:rsidR="00D657A2" w:rsidRDefault="00D657A2" w:rsidP="007740F9">
          <w:pPr>
            <w:pStyle w:val="RectoFooter"/>
            <w:spacing w:before="120"/>
            <w:ind w:left="-108"/>
          </w:pPr>
          <w:r w:rsidRPr="007740F9">
            <w:t>Pūrongo</w:t>
          </w:r>
          <w:r w:rsidRPr="007740F9">
            <w:rPr>
              <w:spacing w:val="-6"/>
            </w:rPr>
            <w:t xml:space="preserve"> </w:t>
          </w:r>
          <w:r w:rsidRPr="007740F9">
            <w:t>Ārai</w:t>
          </w:r>
          <w:r w:rsidRPr="007740F9">
            <w:rPr>
              <w:spacing w:val="-5"/>
            </w:rPr>
            <w:t xml:space="preserve"> </w:t>
          </w:r>
          <w:r w:rsidRPr="007740F9">
            <w:t>Mate</w:t>
          </w:r>
          <w:r w:rsidRPr="007740F9">
            <w:rPr>
              <w:spacing w:val="-6"/>
            </w:rPr>
            <w:t xml:space="preserve"> </w:t>
          </w:r>
          <w:r w:rsidRPr="007740F9">
            <w:t>Pukupuku</w:t>
          </w:r>
          <w:r w:rsidRPr="007740F9">
            <w:rPr>
              <w:spacing w:val="-5"/>
            </w:rPr>
            <w:t xml:space="preserve"> </w:t>
          </w:r>
          <w:r w:rsidRPr="007740F9">
            <w:t>|</w:t>
          </w:r>
          <w:r w:rsidRPr="007740F9">
            <w:rPr>
              <w:spacing w:val="-5"/>
            </w:rPr>
            <w:t xml:space="preserve"> </w:t>
          </w:r>
          <w:r w:rsidRPr="007740F9">
            <w:t>Cance</w:t>
          </w:r>
          <w:r>
            <w:t>R Prevention Report</w:t>
          </w:r>
        </w:p>
      </w:tc>
      <w:tc>
        <w:tcPr>
          <w:tcW w:w="850" w:type="dxa"/>
          <w:vAlign w:val="center"/>
        </w:tcPr>
        <w:p w14:paraId="49C7A5B7" w14:textId="77777777" w:rsidR="00D657A2" w:rsidRDefault="00D657A2" w:rsidP="00120C4C">
          <w:pPr>
            <w:pStyle w:val="RectoFooter"/>
            <w:spacing w:before="120"/>
            <w:ind w:left="-108"/>
          </w:pPr>
          <w:r>
            <w:rPr>
              <w:noProof/>
              <w:lang w:eastAsia="en-NZ"/>
            </w:rPr>
            <w:drawing>
              <wp:inline distT="0" distB="0" distL="0" distR="0" wp14:anchorId="19E43E90" wp14:editId="79C6501B">
                <wp:extent cx="373711" cy="414082"/>
                <wp:effectExtent l="0" t="0" r="7620" b="50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C4358E" w14:textId="77777777" w:rsidR="00D657A2" w:rsidRPr="00571223" w:rsidRDefault="00D657A2"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1033C" w14:textId="77777777" w:rsidR="007001C2" w:rsidRPr="00A26E6B" w:rsidRDefault="007001C2" w:rsidP="00A26E6B"/>
  </w:footnote>
  <w:footnote w:type="continuationSeparator" w:id="0">
    <w:p w14:paraId="550ECFF8" w14:textId="77777777" w:rsidR="007001C2" w:rsidRDefault="007001C2">
      <w:r>
        <w:continuationSeparator/>
      </w:r>
    </w:p>
    <w:p w14:paraId="344D52A8" w14:textId="77777777" w:rsidR="007001C2" w:rsidRDefault="007001C2"/>
  </w:footnote>
  <w:footnote w:id="1">
    <w:p w14:paraId="24BC12F6" w14:textId="77777777" w:rsidR="00D657A2" w:rsidRPr="000A0B2F" w:rsidRDefault="00D657A2" w:rsidP="000A0B2F">
      <w:pPr>
        <w:pStyle w:val="FootnoteText"/>
      </w:pPr>
      <w:bookmarkStart w:id="36" w:name="_Hlk95378182"/>
      <w:r w:rsidRPr="000A0B2F">
        <w:rPr>
          <w:rStyle w:val="FootnoteReference"/>
          <w:vertAlign w:val="baseline"/>
        </w:rPr>
        <w:t>*</w:t>
      </w:r>
      <w:r w:rsidRPr="000A0B2F">
        <w:rPr>
          <w:rStyle w:val="FootnoteReference"/>
          <w:vertAlign w:val="baseline"/>
        </w:rPr>
        <w:tab/>
      </w:r>
      <w:r w:rsidRPr="00C000B2">
        <w:t>Excluding keratinocytic/non-melanoma skin cancers.</w:t>
      </w:r>
      <w:bookmarkEnd w:id="36"/>
    </w:p>
  </w:footnote>
  <w:footnote w:id="2">
    <w:p w14:paraId="5E3038E3" w14:textId="77777777" w:rsidR="00D657A2" w:rsidRPr="00E87CF6" w:rsidRDefault="00D657A2">
      <w:pPr>
        <w:pStyle w:val="FootnoteText"/>
      </w:pPr>
      <w:r w:rsidRPr="00E87CF6">
        <w:rPr>
          <w:rStyle w:val="FootnoteReference"/>
          <w:vertAlign w:val="baseline"/>
        </w:rPr>
        <w:t>*</w:t>
      </w:r>
      <w:r w:rsidRPr="00E87CF6">
        <w:tab/>
      </w:r>
      <w:r w:rsidRPr="00E87CF6">
        <w:rPr>
          <w:rStyle w:val="FootnoteTextChar"/>
        </w:rPr>
        <w:t xml:space="preserve">Dietary risks are the aggregate risk factor that includes a diet low in whole grains, fruit, fibre, legumes, nuts and seeds, omega-3 fatty acids, polyunsaturated fats, vegetables, </w:t>
      </w:r>
      <w:r w:rsidRPr="00E87CF6">
        <w:rPr>
          <w:rStyle w:val="FootnoteTextChar"/>
        </w:rPr>
        <w:t>milk and calcium; and a diet high in sodium, trans fats, red or processed meat and sugar-sweetened beverages.</w:t>
      </w:r>
      <w:r w:rsidRPr="00E87CF6">
        <w:rPr>
          <w:rStyle w:val="FootnoteTextChar"/>
          <w:vertAlign w:val="superscript"/>
        </w:rPr>
        <w:t>195</w:t>
      </w:r>
    </w:p>
  </w:footnote>
  <w:footnote w:id="3">
    <w:p w14:paraId="7B034E47" w14:textId="77777777" w:rsidR="00D657A2" w:rsidRDefault="00D657A2" w:rsidP="00952F81">
      <w:pPr>
        <w:pStyle w:val="FootnoteText"/>
      </w:pPr>
      <w:r w:rsidRPr="00952F81">
        <w:rPr>
          <w:rStyle w:val="FootnoteReference"/>
          <w:vertAlign w:val="baseline"/>
        </w:rPr>
        <w:t>*</w:t>
      </w:r>
      <w:r>
        <w:tab/>
        <w:t xml:space="preserve">Based on dietary recommendations for adults prior to December 2020. See </w:t>
      </w:r>
      <w:r>
        <w:fldChar w:fldCharType="begin"/>
      </w:r>
      <w:r>
        <w:instrText xml:space="preserve"> REF _Ref94856944 \h </w:instrText>
      </w:r>
      <w:r>
        <w:fldChar w:fldCharType="separate"/>
      </w:r>
      <w:r>
        <w:t>Figure </w:t>
      </w:r>
      <w:r>
        <w:rPr>
          <w:noProof/>
        </w:rPr>
        <w:t>19</w:t>
      </w:r>
      <w:r>
        <w:fldChar w:fldCharType="end"/>
      </w:r>
      <w:r>
        <w:t xml:space="preserve"> for updated dietary recommendations.</w:t>
      </w:r>
    </w:p>
  </w:footnote>
  <w:footnote w:id="4">
    <w:p w14:paraId="48DEF6A0" w14:textId="77777777" w:rsidR="00D657A2" w:rsidRPr="00DC6AEF" w:rsidRDefault="00D657A2" w:rsidP="00DC6AEF">
      <w:pPr>
        <w:pStyle w:val="FootnoteText"/>
      </w:pPr>
      <w:r w:rsidRPr="00DC6AEF">
        <w:rPr>
          <w:rStyle w:val="FootnoteReference"/>
          <w:vertAlign w:val="baseline"/>
        </w:rPr>
        <w:t>*</w:t>
      </w:r>
      <w:r w:rsidRPr="00DC6AEF">
        <w:tab/>
      </w:r>
      <w:r w:rsidRPr="00C000B2">
        <w:t>The International Network for Food and Obesity / Non-communicable Diseases Research, Monitoring and Action Support (INFORMAS) is a global network of public-interest organisations and researchers that aims to monitor, benchmark and support public and private sector actions to increase healthy food environments and reduce obesity and non-communicable diseases and their related inequalities (</w:t>
      </w:r>
      <w:r w:rsidRPr="00DC6AEF">
        <w:rPr>
          <w:rStyle w:val="Hyperlink"/>
        </w:rPr>
        <w:t>https://</w:t>
      </w:r>
      <w:hyperlink r:id="rId1">
        <w:r w:rsidRPr="00DC6AEF">
          <w:rPr>
            <w:rStyle w:val="Hyperlink"/>
          </w:rPr>
          <w:t>www.informas.org/</w:t>
        </w:r>
        <w:r w:rsidRPr="00DC6AEF">
          <w:t>).</w:t>
        </w:r>
      </w:hyperlink>
    </w:p>
  </w:footnote>
  <w:footnote w:id="5">
    <w:p w14:paraId="2CA82348" w14:textId="77777777" w:rsidR="00D657A2" w:rsidRPr="00DC5A55" w:rsidRDefault="00D657A2">
      <w:pPr>
        <w:pStyle w:val="FootnoteText"/>
      </w:pPr>
      <w:r w:rsidRPr="00DC5A55">
        <w:rPr>
          <w:rStyle w:val="FootnoteReference"/>
          <w:vertAlign w:val="baseline"/>
        </w:rPr>
        <w:t>*</w:t>
      </w:r>
      <w:r w:rsidRPr="00DC5A55">
        <w:tab/>
      </w:r>
      <w:r w:rsidRPr="00DC5A55">
        <w:rPr>
          <w:rStyle w:val="FootnoteTextChar"/>
        </w:rPr>
        <w:t>In cloudless conditions 1–1.30 pm during daylight saving</w:t>
      </w:r>
      <w:r>
        <w:rPr>
          <w:rStyle w:val="FootnoteTextChar"/>
        </w:rPr>
        <w:t>.</w:t>
      </w:r>
    </w:p>
  </w:footnote>
  <w:footnote w:id="6">
    <w:p w14:paraId="495E3BC0" w14:textId="77777777" w:rsidR="00D657A2" w:rsidRPr="00B16FAF" w:rsidRDefault="00D657A2">
      <w:pPr>
        <w:pStyle w:val="FootnoteText"/>
      </w:pPr>
      <w:r w:rsidRPr="00B16FAF">
        <w:rPr>
          <w:rStyle w:val="FootnoteReference"/>
          <w:vertAlign w:val="baseline"/>
        </w:rPr>
        <w:t>*</w:t>
      </w:r>
      <w:r w:rsidRPr="00B16FAF">
        <w:tab/>
      </w:r>
      <w:r w:rsidRPr="00C000B2">
        <w:t xml:space="preserve">For more information, see the Ministry of Health website at: </w:t>
      </w:r>
      <w:hyperlink r:id="rId2" w:history="1">
        <w:r w:rsidRPr="00B16FAF">
          <w:rPr>
            <w:rStyle w:val="Hyperlink"/>
          </w:rPr>
          <w:t>www.health.govt.nz/our-work/preventative-health-wellness/healthy-homes-initiative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D657A2" w14:paraId="4E241F00" w14:textId="77777777" w:rsidTr="005A79E5">
      <w:trPr>
        <w:cantSplit/>
      </w:trPr>
      <w:tc>
        <w:tcPr>
          <w:tcW w:w="5210" w:type="dxa"/>
        </w:tcPr>
        <w:p w14:paraId="5AD74F0A" w14:textId="77777777" w:rsidR="00D657A2" w:rsidRDefault="00D657A2" w:rsidP="008814E8">
          <w:pPr>
            <w:pStyle w:val="Header"/>
          </w:pPr>
          <w:r>
            <w:rPr>
              <w:noProof/>
              <w:lang w:eastAsia="en-NZ"/>
            </w:rPr>
            <w:drawing>
              <wp:inline distT="0" distB="0" distL="0" distR="0" wp14:anchorId="550FAA8D" wp14:editId="788B1029">
                <wp:extent cx="1396538" cy="65061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110028A6" w14:textId="77777777" w:rsidR="00D657A2" w:rsidRDefault="00D657A2" w:rsidP="008814E8">
          <w:pPr>
            <w:pStyle w:val="Header"/>
            <w:jc w:val="right"/>
          </w:pPr>
          <w:r>
            <w:rPr>
              <w:noProof/>
              <w:lang w:eastAsia="en-NZ"/>
            </w:rPr>
            <w:drawing>
              <wp:inline distT="0" distB="0" distL="0" distR="0" wp14:anchorId="3482DD70" wp14:editId="09F7EEBB">
                <wp:extent cx="1720735" cy="17713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5AC633C4" w14:textId="77777777" w:rsidR="00D657A2" w:rsidRPr="005718A6" w:rsidRDefault="00D657A2">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2B53B" w14:textId="77777777" w:rsidR="00D657A2" w:rsidRDefault="00D657A2"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A2F45" w14:textId="77777777" w:rsidR="00D657A2" w:rsidRDefault="00D657A2"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7A536" w14:textId="77777777" w:rsidR="00D657A2" w:rsidRDefault="00D657A2"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712D0" w14:textId="77777777" w:rsidR="00D657A2" w:rsidRDefault="00D657A2"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9C25F1"/>
    <w:multiLevelType w:val="hybridMultilevel"/>
    <w:tmpl w:val="B1FC99C8"/>
    <w:lvl w:ilvl="0" w:tplc="1792A4DE">
      <w:numFmt w:val="bullet"/>
      <w:lvlText w:val="•"/>
      <w:lvlJc w:val="left"/>
      <w:pPr>
        <w:ind w:left="660" w:hanging="271"/>
      </w:pPr>
      <w:rPr>
        <w:rFonts w:ascii="Trebuchet MS" w:eastAsia="Trebuchet MS" w:hAnsi="Trebuchet MS" w:cs="Trebuchet MS" w:hint="default"/>
        <w:b w:val="0"/>
        <w:bCs w:val="0"/>
        <w:i w:val="0"/>
        <w:iCs w:val="0"/>
        <w:w w:val="61"/>
        <w:sz w:val="20"/>
        <w:szCs w:val="20"/>
        <w:lang w:val="en-GB" w:eastAsia="en-US" w:bidi="ar-SA"/>
      </w:rPr>
    </w:lvl>
    <w:lvl w:ilvl="1" w:tplc="516896EA">
      <w:numFmt w:val="bullet"/>
      <w:lvlText w:val="•"/>
      <w:lvlJc w:val="left"/>
      <w:pPr>
        <w:ind w:left="1501" w:hanging="271"/>
      </w:pPr>
      <w:rPr>
        <w:rFonts w:hint="default"/>
        <w:lang w:val="en-GB" w:eastAsia="en-US" w:bidi="ar-SA"/>
      </w:rPr>
    </w:lvl>
    <w:lvl w:ilvl="2" w:tplc="0C7EA7D6">
      <w:numFmt w:val="bullet"/>
      <w:lvlText w:val="•"/>
      <w:lvlJc w:val="left"/>
      <w:pPr>
        <w:ind w:left="2342" w:hanging="271"/>
      </w:pPr>
      <w:rPr>
        <w:rFonts w:hint="default"/>
        <w:lang w:val="en-GB" w:eastAsia="en-US" w:bidi="ar-SA"/>
      </w:rPr>
    </w:lvl>
    <w:lvl w:ilvl="3" w:tplc="5E381506">
      <w:numFmt w:val="bullet"/>
      <w:lvlText w:val="•"/>
      <w:lvlJc w:val="left"/>
      <w:pPr>
        <w:ind w:left="3183" w:hanging="271"/>
      </w:pPr>
      <w:rPr>
        <w:rFonts w:hint="default"/>
        <w:lang w:val="en-GB" w:eastAsia="en-US" w:bidi="ar-SA"/>
      </w:rPr>
    </w:lvl>
    <w:lvl w:ilvl="4" w:tplc="F73C8340">
      <w:numFmt w:val="bullet"/>
      <w:lvlText w:val="•"/>
      <w:lvlJc w:val="left"/>
      <w:pPr>
        <w:ind w:left="4024" w:hanging="271"/>
      </w:pPr>
      <w:rPr>
        <w:rFonts w:hint="default"/>
        <w:lang w:val="en-GB" w:eastAsia="en-US" w:bidi="ar-SA"/>
      </w:rPr>
    </w:lvl>
    <w:lvl w:ilvl="5" w:tplc="9B60573C">
      <w:numFmt w:val="bullet"/>
      <w:lvlText w:val="•"/>
      <w:lvlJc w:val="left"/>
      <w:pPr>
        <w:ind w:left="4865" w:hanging="271"/>
      </w:pPr>
      <w:rPr>
        <w:rFonts w:hint="default"/>
        <w:lang w:val="en-GB" w:eastAsia="en-US" w:bidi="ar-SA"/>
      </w:rPr>
    </w:lvl>
    <w:lvl w:ilvl="6" w:tplc="EF808C60">
      <w:numFmt w:val="bullet"/>
      <w:lvlText w:val="•"/>
      <w:lvlJc w:val="left"/>
      <w:pPr>
        <w:ind w:left="5706" w:hanging="271"/>
      </w:pPr>
      <w:rPr>
        <w:rFonts w:hint="default"/>
        <w:lang w:val="en-GB" w:eastAsia="en-US" w:bidi="ar-SA"/>
      </w:rPr>
    </w:lvl>
    <w:lvl w:ilvl="7" w:tplc="DEA2896E">
      <w:numFmt w:val="bullet"/>
      <w:lvlText w:val="•"/>
      <w:lvlJc w:val="left"/>
      <w:pPr>
        <w:ind w:left="6547" w:hanging="271"/>
      </w:pPr>
      <w:rPr>
        <w:rFonts w:hint="default"/>
        <w:lang w:val="en-GB" w:eastAsia="en-US" w:bidi="ar-SA"/>
      </w:rPr>
    </w:lvl>
    <w:lvl w:ilvl="8" w:tplc="BFB2CA02">
      <w:numFmt w:val="bullet"/>
      <w:lvlText w:val="•"/>
      <w:lvlJc w:val="left"/>
      <w:pPr>
        <w:ind w:left="7388" w:hanging="271"/>
      </w:pPr>
      <w:rPr>
        <w:rFonts w:hint="default"/>
        <w:lang w:val="en-GB" w:eastAsia="en-US" w:bidi="ar-SA"/>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4712571"/>
    <w:multiLevelType w:val="hybridMultilevel"/>
    <w:tmpl w:val="17625350"/>
    <w:lvl w:ilvl="0" w:tplc="9E98CD00">
      <w:start w:val="8"/>
      <w:numFmt w:val="decimal"/>
      <w:lvlText w:val="%1"/>
      <w:lvlJc w:val="left"/>
      <w:pPr>
        <w:ind w:left="4189" w:hanging="217"/>
      </w:pPr>
      <w:rPr>
        <w:rFonts w:ascii="Tahoma" w:eastAsia="Tahoma" w:hAnsi="Tahoma" w:cs="Tahoma" w:hint="default"/>
        <w:b/>
        <w:bCs/>
        <w:i w:val="0"/>
        <w:iCs w:val="0"/>
        <w:color w:val="22B893"/>
        <w:w w:val="103"/>
        <w:sz w:val="20"/>
        <w:szCs w:val="20"/>
        <w:lang w:val="en-GB" w:eastAsia="en-US" w:bidi="ar-SA"/>
      </w:rPr>
    </w:lvl>
    <w:lvl w:ilvl="1" w:tplc="FB3CE81C">
      <w:numFmt w:val="bullet"/>
      <w:lvlText w:val="•"/>
      <w:lvlJc w:val="left"/>
      <w:pPr>
        <w:ind w:left="4257" w:hanging="217"/>
      </w:pPr>
      <w:rPr>
        <w:rFonts w:hint="default"/>
        <w:lang w:val="en-GB" w:eastAsia="en-US" w:bidi="ar-SA"/>
      </w:rPr>
    </w:lvl>
    <w:lvl w:ilvl="2" w:tplc="1360AB28">
      <w:numFmt w:val="bullet"/>
      <w:lvlText w:val="•"/>
      <w:lvlJc w:val="left"/>
      <w:pPr>
        <w:ind w:left="4334" w:hanging="217"/>
      </w:pPr>
      <w:rPr>
        <w:rFonts w:hint="default"/>
        <w:lang w:val="en-GB" w:eastAsia="en-US" w:bidi="ar-SA"/>
      </w:rPr>
    </w:lvl>
    <w:lvl w:ilvl="3" w:tplc="BE5A0FF2">
      <w:numFmt w:val="bullet"/>
      <w:lvlText w:val="•"/>
      <w:lvlJc w:val="left"/>
      <w:pPr>
        <w:ind w:left="4412" w:hanging="217"/>
      </w:pPr>
      <w:rPr>
        <w:rFonts w:hint="default"/>
        <w:lang w:val="en-GB" w:eastAsia="en-US" w:bidi="ar-SA"/>
      </w:rPr>
    </w:lvl>
    <w:lvl w:ilvl="4" w:tplc="214A5A08">
      <w:numFmt w:val="bullet"/>
      <w:lvlText w:val="•"/>
      <w:lvlJc w:val="left"/>
      <w:pPr>
        <w:ind w:left="4489" w:hanging="217"/>
      </w:pPr>
      <w:rPr>
        <w:rFonts w:hint="default"/>
        <w:lang w:val="en-GB" w:eastAsia="en-US" w:bidi="ar-SA"/>
      </w:rPr>
    </w:lvl>
    <w:lvl w:ilvl="5" w:tplc="40C400F6">
      <w:numFmt w:val="bullet"/>
      <w:lvlText w:val="•"/>
      <w:lvlJc w:val="left"/>
      <w:pPr>
        <w:ind w:left="4566" w:hanging="217"/>
      </w:pPr>
      <w:rPr>
        <w:rFonts w:hint="default"/>
        <w:lang w:val="en-GB" w:eastAsia="en-US" w:bidi="ar-SA"/>
      </w:rPr>
    </w:lvl>
    <w:lvl w:ilvl="6" w:tplc="3B64CFAE">
      <w:numFmt w:val="bullet"/>
      <w:lvlText w:val="•"/>
      <w:lvlJc w:val="left"/>
      <w:pPr>
        <w:ind w:left="4644" w:hanging="217"/>
      </w:pPr>
      <w:rPr>
        <w:rFonts w:hint="default"/>
        <w:lang w:val="en-GB" w:eastAsia="en-US" w:bidi="ar-SA"/>
      </w:rPr>
    </w:lvl>
    <w:lvl w:ilvl="7" w:tplc="D1901ECE">
      <w:numFmt w:val="bullet"/>
      <w:lvlText w:val="•"/>
      <w:lvlJc w:val="left"/>
      <w:pPr>
        <w:ind w:left="4721" w:hanging="217"/>
      </w:pPr>
      <w:rPr>
        <w:rFonts w:hint="default"/>
        <w:lang w:val="en-GB" w:eastAsia="en-US" w:bidi="ar-SA"/>
      </w:rPr>
    </w:lvl>
    <w:lvl w:ilvl="8" w:tplc="2DD6C8CC">
      <w:numFmt w:val="bullet"/>
      <w:lvlText w:val="•"/>
      <w:lvlJc w:val="left"/>
      <w:pPr>
        <w:ind w:left="4798" w:hanging="217"/>
      </w:pPr>
      <w:rPr>
        <w:rFonts w:hint="default"/>
        <w:lang w:val="en-GB" w:eastAsia="en-US" w:bidi="ar-SA"/>
      </w:rPr>
    </w:lvl>
  </w:abstractNum>
  <w:abstractNum w:abstractNumId="4" w15:restartNumberingAfterBreak="0">
    <w:nsid w:val="16C8335A"/>
    <w:multiLevelType w:val="hybridMultilevel"/>
    <w:tmpl w:val="5F42DEB6"/>
    <w:lvl w:ilvl="0" w:tplc="6FAC788A">
      <w:numFmt w:val="bullet"/>
      <w:lvlText w:val="•"/>
      <w:lvlJc w:val="left"/>
      <w:pPr>
        <w:ind w:left="296" w:hanging="227"/>
      </w:pPr>
      <w:rPr>
        <w:rFonts w:ascii="Trebuchet MS" w:eastAsia="Trebuchet MS" w:hAnsi="Trebuchet MS" w:cs="Trebuchet MS" w:hint="default"/>
        <w:b w:val="0"/>
        <w:bCs w:val="0"/>
        <w:i w:val="0"/>
        <w:iCs w:val="0"/>
        <w:w w:val="61"/>
        <w:sz w:val="18"/>
        <w:szCs w:val="18"/>
        <w:lang w:val="en-GB" w:eastAsia="en-US" w:bidi="ar-SA"/>
      </w:rPr>
    </w:lvl>
    <w:lvl w:ilvl="1" w:tplc="A65826FE">
      <w:numFmt w:val="bullet"/>
      <w:lvlText w:val="•"/>
      <w:lvlJc w:val="left"/>
      <w:pPr>
        <w:ind w:left="815" w:hanging="227"/>
      </w:pPr>
      <w:rPr>
        <w:rFonts w:hint="default"/>
        <w:lang w:val="en-GB" w:eastAsia="en-US" w:bidi="ar-SA"/>
      </w:rPr>
    </w:lvl>
    <w:lvl w:ilvl="2" w:tplc="63FE7198">
      <w:numFmt w:val="bullet"/>
      <w:lvlText w:val="•"/>
      <w:lvlJc w:val="left"/>
      <w:pPr>
        <w:ind w:left="1330" w:hanging="227"/>
      </w:pPr>
      <w:rPr>
        <w:rFonts w:hint="default"/>
        <w:lang w:val="en-GB" w:eastAsia="en-US" w:bidi="ar-SA"/>
      </w:rPr>
    </w:lvl>
    <w:lvl w:ilvl="3" w:tplc="3FA05546">
      <w:numFmt w:val="bullet"/>
      <w:lvlText w:val="•"/>
      <w:lvlJc w:val="left"/>
      <w:pPr>
        <w:ind w:left="1846" w:hanging="227"/>
      </w:pPr>
      <w:rPr>
        <w:rFonts w:hint="default"/>
        <w:lang w:val="en-GB" w:eastAsia="en-US" w:bidi="ar-SA"/>
      </w:rPr>
    </w:lvl>
    <w:lvl w:ilvl="4" w:tplc="F72E4EF6">
      <w:numFmt w:val="bullet"/>
      <w:lvlText w:val="•"/>
      <w:lvlJc w:val="left"/>
      <w:pPr>
        <w:ind w:left="2361" w:hanging="227"/>
      </w:pPr>
      <w:rPr>
        <w:rFonts w:hint="default"/>
        <w:lang w:val="en-GB" w:eastAsia="en-US" w:bidi="ar-SA"/>
      </w:rPr>
    </w:lvl>
    <w:lvl w:ilvl="5" w:tplc="BF5CBC66">
      <w:numFmt w:val="bullet"/>
      <w:lvlText w:val="•"/>
      <w:lvlJc w:val="left"/>
      <w:pPr>
        <w:ind w:left="2877" w:hanging="227"/>
      </w:pPr>
      <w:rPr>
        <w:rFonts w:hint="default"/>
        <w:lang w:val="en-GB" w:eastAsia="en-US" w:bidi="ar-SA"/>
      </w:rPr>
    </w:lvl>
    <w:lvl w:ilvl="6" w:tplc="17C2D68C">
      <w:numFmt w:val="bullet"/>
      <w:lvlText w:val="•"/>
      <w:lvlJc w:val="left"/>
      <w:pPr>
        <w:ind w:left="3392" w:hanging="227"/>
      </w:pPr>
      <w:rPr>
        <w:rFonts w:hint="default"/>
        <w:lang w:val="en-GB" w:eastAsia="en-US" w:bidi="ar-SA"/>
      </w:rPr>
    </w:lvl>
    <w:lvl w:ilvl="7" w:tplc="7B82CE3C">
      <w:numFmt w:val="bullet"/>
      <w:lvlText w:val="•"/>
      <w:lvlJc w:val="left"/>
      <w:pPr>
        <w:ind w:left="3907" w:hanging="227"/>
      </w:pPr>
      <w:rPr>
        <w:rFonts w:hint="default"/>
        <w:lang w:val="en-GB" w:eastAsia="en-US" w:bidi="ar-SA"/>
      </w:rPr>
    </w:lvl>
    <w:lvl w:ilvl="8" w:tplc="5576F4D4">
      <w:numFmt w:val="bullet"/>
      <w:lvlText w:val="•"/>
      <w:lvlJc w:val="left"/>
      <w:pPr>
        <w:ind w:left="4423" w:hanging="227"/>
      </w:pPr>
      <w:rPr>
        <w:rFonts w:hint="default"/>
        <w:lang w:val="en-GB" w:eastAsia="en-US" w:bidi="ar-SA"/>
      </w:rPr>
    </w:lvl>
  </w:abstractNum>
  <w:abstractNum w:abstractNumId="5" w15:restartNumberingAfterBreak="0">
    <w:nsid w:val="1B6B1358"/>
    <w:multiLevelType w:val="hybridMultilevel"/>
    <w:tmpl w:val="A9B626FC"/>
    <w:lvl w:ilvl="0" w:tplc="E3D035F4">
      <w:numFmt w:val="bullet"/>
      <w:lvlText w:val="•"/>
      <w:lvlJc w:val="left"/>
      <w:pPr>
        <w:ind w:left="660" w:hanging="271"/>
      </w:pPr>
      <w:rPr>
        <w:rFonts w:ascii="Trebuchet MS" w:eastAsia="Trebuchet MS" w:hAnsi="Trebuchet MS" w:cs="Trebuchet MS" w:hint="default"/>
        <w:b w:val="0"/>
        <w:bCs w:val="0"/>
        <w:i w:val="0"/>
        <w:iCs w:val="0"/>
        <w:w w:val="61"/>
        <w:sz w:val="20"/>
        <w:szCs w:val="20"/>
        <w:lang w:val="en-GB" w:eastAsia="en-US" w:bidi="ar-SA"/>
      </w:rPr>
    </w:lvl>
    <w:lvl w:ilvl="1" w:tplc="453224D8">
      <w:numFmt w:val="bullet"/>
      <w:lvlText w:val="•"/>
      <w:lvlJc w:val="left"/>
      <w:pPr>
        <w:ind w:left="1501" w:hanging="271"/>
      </w:pPr>
      <w:rPr>
        <w:rFonts w:hint="default"/>
        <w:lang w:val="en-GB" w:eastAsia="en-US" w:bidi="ar-SA"/>
      </w:rPr>
    </w:lvl>
    <w:lvl w:ilvl="2" w:tplc="E4AE6E8C">
      <w:numFmt w:val="bullet"/>
      <w:lvlText w:val="•"/>
      <w:lvlJc w:val="left"/>
      <w:pPr>
        <w:ind w:left="2342" w:hanging="271"/>
      </w:pPr>
      <w:rPr>
        <w:rFonts w:hint="default"/>
        <w:lang w:val="en-GB" w:eastAsia="en-US" w:bidi="ar-SA"/>
      </w:rPr>
    </w:lvl>
    <w:lvl w:ilvl="3" w:tplc="5EC4FB36">
      <w:numFmt w:val="bullet"/>
      <w:lvlText w:val="•"/>
      <w:lvlJc w:val="left"/>
      <w:pPr>
        <w:ind w:left="3183" w:hanging="271"/>
      </w:pPr>
      <w:rPr>
        <w:rFonts w:hint="default"/>
        <w:lang w:val="en-GB" w:eastAsia="en-US" w:bidi="ar-SA"/>
      </w:rPr>
    </w:lvl>
    <w:lvl w:ilvl="4" w:tplc="0DC24184">
      <w:numFmt w:val="bullet"/>
      <w:lvlText w:val="•"/>
      <w:lvlJc w:val="left"/>
      <w:pPr>
        <w:ind w:left="4024" w:hanging="271"/>
      </w:pPr>
      <w:rPr>
        <w:rFonts w:hint="default"/>
        <w:lang w:val="en-GB" w:eastAsia="en-US" w:bidi="ar-SA"/>
      </w:rPr>
    </w:lvl>
    <w:lvl w:ilvl="5" w:tplc="B3BCCA34">
      <w:numFmt w:val="bullet"/>
      <w:lvlText w:val="•"/>
      <w:lvlJc w:val="left"/>
      <w:pPr>
        <w:ind w:left="4865" w:hanging="271"/>
      </w:pPr>
      <w:rPr>
        <w:rFonts w:hint="default"/>
        <w:lang w:val="en-GB" w:eastAsia="en-US" w:bidi="ar-SA"/>
      </w:rPr>
    </w:lvl>
    <w:lvl w:ilvl="6" w:tplc="CDB2A126">
      <w:numFmt w:val="bullet"/>
      <w:lvlText w:val="•"/>
      <w:lvlJc w:val="left"/>
      <w:pPr>
        <w:ind w:left="5706" w:hanging="271"/>
      </w:pPr>
      <w:rPr>
        <w:rFonts w:hint="default"/>
        <w:lang w:val="en-GB" w:eastAsia="en-US" w:bidi="ar-SA"/>
      </w:rPr>
    </w:lvl>
    <w:lvl w:ilvl="7" w:tplc="DA80156A">
      <w:numFmt w:val="bullet"/>
      <w:lvlText w:val="•"/>
      <w:lvlJc w:val="left"/>
      <w:pPr>
        <w:ind w:left="6547" w:hanging="271"/>
      </w:pPr>
      <w:rPr>
        <w:rFonts w:hint="default"/>
        <w:lang w:val="en-GB" w:eastAsia="en-US" w:bidi="ar-SA"/>
      </w:rPr>
    </w:lvl>
    <w:lvl w:ilvl="8" w:tplc="02C47E36">
      <w:numFmt w:val="bullet"/>
      <w:lvlText w:val="•"/>
      <w:lvlJc w:val="left"/>
      <w:pPr>
        <w:ind w:left="7388" w:hanging="271"/>
      </w:pPr>
      <w:rPr>
        <w:rFonts w:hint="default"/>
        <w:lang w:val="en-GB" w:eastAsia="en-US" w:bidi="ar-SA"/>
      </w:rPr>
    </w:lvl>
  </w:abstractNum>
  <w:abstractNum w:abstractNumId="6" w15:restartNumberingAfterBreak="0">
    <w:nsid w:val="247303FB"/>
    <w:multiLevelType w:val="hybridMultilevel"/>
    <w:tmpl w:val="B2C26D22"/>
    <w:lvl w:ilvl="0" w:tplc="1CDA3B2E">
      <w:numFmt w:val="bullet"/>
      <w:lvlText w:val="•"/>
      <w:lvlJc w:val="left"/>
      <w:pPr>
        <w:ind w:left="980" w:hanging="284"/>
      </w:pPr>
      <w:rPr>
        <w:rFonts w:ascii="Trebuchet MS" w:eastAsia="Trebuchet MS" w:hAnsi="Trebuchet MS" w:cs="Trebuchet MS" w:hint="default"/>
        <w:b w:val="0"/>
        <w:bCs w:val="0"/>
        <w:i w:val="0"/>
        <w:iCs w:val="0"/>
        <w:w w:val="61"/>
        <w:sz w:val="20"/>
        <w:szCs w:val="20"/>
        <w:lang w:val="en-GB" w:eastAsia="en-US" w:bidi="ar-SA"/>
      </w:rPr>
    </w:lvl>
    <w:lvl w:ilvl="1" w:tplc="A8B472BE">
      <w:numFmt w:val="bullet"/>
      <w:lvlText w:val="•"/>
      <w:lvlJc w:val="left"/>
      <w:pPr>
        <w:ind w:left="1880" w:hanging="284"/>
      </w:pPr>
      <w:rPr>
        <w:rFonts w:hint="default"/>
        <w:lang w:val="en-GB" w:eastAsia="en-US" w:bidi="ar-SA"/>
      </w:rPr>
    </w:lvl>
    <w:lvl w:ilvl="2" w:tplc="87F06238">
      <w:numFmt w:val="bullet"/>
      <w:lvlText w:val="•"/>
      <w:lvlJc w:val="left"/>
      <w:pPr>
        <w:ind w:left="2781" w:hanging="284"/>
      </w:pPr>
      <w:rPr>
        <w:rFonts w:hint="default"/>
        <w:lang w:val="en-GB" w:eastAsia="en-US" w:bidi="ar-SA"/>
      </w:rPr>
    </w:lvl>
    <w:lvl w:ilvl="3" w:tplc="66764EB4">
      <w:numFmt w:val="bullet"/>
      <w:lvlText w:val="•"/>
      <w:lvlJc w:val="left"/>
      <w:pPr>
        <w:ind w:left="3681" w:hanging="284"/>
      </w:pPr>
      <w:rPr>
        <w:rFonts w:hint="default"/>
        <w:lang w:val="en-GB" w:eastAsia="en-US" w:bidi="ar-SA"/>
      </w:rPr>
    </w:lvl>
    <w:lvl w:ilvl="4" w:tplc="D0748194">
      <w:numFmt w:val="bullet"/>
      <w:lvlText w:val="•"/>
      <w:lvlJc w:val="left"/>
      <w:pPr>
        <w:ind w:left="4582" w:hanging="284"/>
      </w:pPr>
      <w:rPr>
        <w:rFonts w:hint="default"/>
        <w:lang w:val="en-GB" w:eastAsia="en-US" w:bidi="ar-SA"/>
      </w:rPr>
    </w:lvl>
    <w:lvl w:ilvl="5" w:tplc="74E29CCA">
      <w:numFmt w:val="bullet"/>
      <w:lvlText w:val="•"/>
      <w:lvlJc w:val="left"/>
      <w:pPr>
        <w:ind w:left="5482" w:hanging="284"/>
      </w:pPr>
      <w:rPr>
        <w:rFonts w:hint="default"/>
        <w:lang w:val="en-GB" w:eastAsia="en-US" w:bidi="ar-SA"/>
      </w:rPr>
    </w:lvl>
    <w:lvl w:ilvl="6" w:tplc="94AADAD0">
      <w:numFmt w:val="bullet"/>
      <w:lvlText w:val="•"/>
      <w:lvlJc w:val="left"/>
      <w:pPr>
        <w:ind w:left="6383" w:hanging="284"/>
      </w:pPr>
      <w:rPr>
        <w:rFonts w:hint="default"/>
        <w:lang w:val="en-GB" w:eastAsia="en-US" w:bidi="ar-SA"/>
      </w:rPr>
    </w:lvl>
    <w:lvl w:ilvl="7" w:tplc="E1507C26">
      <w:numFmt w:val="bullet"/>
      <w:lvlText w:val="•"/>
      <w:lvlJc w:val="left"/>
      <w:pPr>
        <w:ind w:left="7283" w:hanging="284"/>
      </w:pPr>
      <w:rPr>
        <w:rFonts w:hint="default"/>
        <w:lang w:val="en-GB" w:eastAsia="en-US" w:bidi="ar-SA"/>
      </w:rPr>
    </w:lvl>
    <w:lvl w:ilvl="8" w:tplc="4432C23E">
      <w:numFmt w:val="bullet"/>
      <w:lvlText w:val="•"/>
      <w:lvlJc w:val="left"/>
      <w:pPr>
        <w:ind w:left="8184" w:hanging="284"/>
      </w:pPr>
      <w:rPr>
        <w:rFonts w:hint="default"/>
        <w:lang w:val="en-GB" w:eastAsia="en-US" w:bidi="ar-SA"/>
      </w:rPr>
    </w:lvl>
  </w:abstractNum>
  <w:abstractNum w:abstractNumId="7" w15:restartNumberingAfterBreak="0">
    <w:nsid w:val="251728D1"/>
    <w:multiLevelType w:val="hybridMultilevel"/>
    <w:tmpl w:val="3CDAE634"/>
    <w:lvl w:ilvl="0" w:tplc="E0547AA4">
      <w:start w:val="1"/>
      <w:numFmt w:val="decimal"/>
      <w:pStyle w:val="References"/>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9FC5393"/>
    <w:multiLevelType w:val="hybridMultilevel"/>
    <w:tmpl w:val="0DE8C87A"/>
    <w:lvl w:ilvl="0" w:tplc="951E441C">
      <w:numFmt w:val="bullet"/>
      <w:lvlText w:val="•"/>
      <w:lvlJc w:val="left"/>
      <w:pPr>
        <w:ind w:left="646" w:hanging="271"/>
      </w:pPr>
      <w:rPr>
        <w:rFonts w:ascii="Trebuchet MS" w:eastAsia="Trebuchet MS" w:hAnsi="Trebuchet MS" w:cs="Trebuchet MS" w:hint="default"/>
        <w:b w:val="0"/>
        <w:bCs w:val="0"/>
        <w:i w:val="0"/>
        <w:iCs w:val="0"/>
        <w:w w:val="61"/>
        <w:sz w:val="20"/>
        <w:szCs w:val="20"/>
        <w:lang w:val="en-GB" w:eastAsia="en-US" w:bidi="ar-SA"/>
      </w:rPr>
    </w:lvl>
    <w:lvl w:ilvl="1" w:tplc="4CDAAAB6">
      <w:numFmt w:val="bullet"/>
      <w:lvlText w:val="•"/>
      <w:lvlJc w:val="left"/>
      <w:pPr>
        <w:ind w:left="1483" w:hanging="271"/>
      </w:pPr>
      <w:rPr>
        <w:rFonts w:hint="default"/>
        <w:lang w:val="en-GB" w:eastAsia="en-US" w:bidi="ar-SA"/>
      </w:rPr>
    </w:lvl>
    <w:lvl w:ilvl="2" w:tplc="9C5E5AC2">
      <w:numFmt w:val="bullet"/>
      <w:lvlText w:val="•"/>
      <w:lvlJc w:val="left"/>
      <w:pPr>
        <w:ind w:left="2326" w:hanging="271"/>
      </w:pPr>
      <w:rPr>
        <w:rFonts w:hint="default"/>
        <w:lang w:val="en-GB" w:eastAsia="en-US" w:bidi="ar-SA"/>
      </w:rPr>
    </w:lvl>
    <w:lvl w:ilvl="3" w:tplc="4B4E49A4">
      <w:numFmt w:val="bullet"/>
      <w:lvlText w:val="•"/>
      <w:lvlJc w:val="left"/>
      <w:pPr>
        <w:ind w:left="3169" w:hanging="271"/>
      </w:pPr>
      <w:rPr>
        <w:rFonts w:hint="default"/>
        <w:lang w:val="en-GB" w:eastAsia="en-US" w:bidi="ar-SA"/>
      </w:rPr>
    </w:lvl>
    <w:lvl w:ilvl="4" w:tplc="7242D4A2">
      <w:numFmt w:val="bullet"/>
      <w:lvlText w:val="•"/>
      <w:lvlJc w:val="left"/>
      <w:pPr>
        <w:ind w:left="4012" w:hanging="271"/>
      </w:pPr>
      <w:rPr>
        <w:rFonts w:hint="default"/>
        <w:lang w:val="en-GB" w:eastAsia="en-US" w:bidi="ar-SA"/>
      </w:rPr>
    </w:lvl>
    <w:lvl w:ilvl="5" w:tplc="06AC3390">
      <w:numFmt w:val="bullet"/>
      <w:lvlText w:val="•"/>
      <w:lvlJc w:val="left"/>
      <w:pPr>
        <w:ind w:left="4855" w:hanging="271"/>
      </w:pPr>
      <w:rPr>
        <w:rFonts w:hint="default"/>
        <w:lang w:val="en-GB" w:eastAsia="en-US" w:bidi="ar-SA"/>
      </w:rPr>
    </w:lvl>
    <w:lvl w:ilvl="6" w:tplc="A9A251EE">
      <w:numFmt w:val="bullet"/>
      <w:lvlText w:val="•"/>
      <w:lvlJc w:val="left"/>
      <w:pPr>
        <w:ind w:left="5698" w:hanging="271"/>
      </w:pPr>
      <w:rPr>
        <w:rFonts w:hint="default"/>
        <w:lang w:val="en-GB" w:eastAsia="en-US" w:bidi="ar-SA"/>
      </w:rPr>
    </w:lvl>
    <w:lvl w:ilvl="7" w:tplc="8960C3BA">
      <w:numFmt w:val="bullet"/>
      <w:lvlText w:val="•"/>
      <w:lvlJc w:val="left"/>
      <w:pPr>
        <w:ind w:left="6541" w:hanging="271"/>
      </w:pPr>
      <w:rPr>
        <w:rFonts w:hint="default"/>
        <w:lang w:val="en-GB" w:eastAsia="en-US" w:bidi="ar-SA"/>
      </w:rPr>
    </w:lvl>
    <w:lvl w:ilvl="8" w:tplc="5E1CEA2C">
      <w:numFmt w:val="bullet"/>
      <w:lvlText w:val="•"/>
      <w:lvlJc w:val="left"/>
      <w:pPr>
        <w:ind w:left="7384" w:hanging="271"/>
      </w:pPr>
      <w:rPr>
        <w:rFonts w:hint="default"/>
        <w:lang w:val="en-GB" w:eastAsia="en-US" w:bidi="ar-SA"/>
      </w:rPr>
    </w:lvl>
  </w:abstractNum>
  <w:abstractNum w:abstractNumId="9" w15:restartNumberingAfterBreak="0">
    <w:nsid w:val="2E3B5398"/>
    <w:multiLevelType w:val="hybridMultilevel"/>
    <w:tmpl w:val="4C9C86F0"/>
    <w:lvl w:ilvl="0" w:tplc="46686E18">
      <w:numFmt w:val="bullet"/>
      <w:lvlText w:val="•"/>
      <w:lvlJc w:val="left"/>
      <w:pPr>
        <w:ind w:left="660" w:hanging="271"/>
      </w:pPr>
      <w:rPr>
        <w:rFonts w:ascii="Trebuchet MS" w:eastAsia="Trebuchet MS" w:hAnsi="Trebuchet MS" w:cs="Trebuchet MS" w:hint="default"/>
        <w:b w:val="0"/>
        <w:bCs w:val="0"/>
        <w:i w:val="0"/>
        <w:iCs w:val="0"/>
        <w:w w:val="61"/>
        <w:sz w:val="20"/>
        <w:szCs w:val="20"/>
        <w:lang w:val="en-GB" w:eastAsia="en-US" w:bidi="ar-SA"/>
      </w:rPr>
    </w:lvl>
    <w:lvl w:ilvl="1" w:tplc="16A4E044">
      <w:numFmt w:val="bullet"/>
      <w:lvlText w:val="•"/>
      <w:lvlJc w:val="left"/>
      <w:pPr>
        <w:ind w:left="1501" w:hanging="271"/>
      </w:pPr>
      <w:rPr>
        <w:rFonts w:hint="default"/>
        <w:lang w:val="en-GB" w:eastAsia="en-US" w:bidi="ar-SA"/>
      </w:rPr>
    </w:lvl>
    <w:lvl w:ilvl="2" w:tplc="23B0953C">
      <w:numFmt w:val="bullet"/>
      <w:lvlText w:val="•"/>
      <w:lvlJc w:val="left"/>
      <w:pPr>
        <w:ind w:left="2342" w:hanging="271"/>
      </w:pPr>
      <w:rPr>
        <w:rFonts w:hint="default"/>
        <w:lang w:val="en-GB" w:eastAsia="en-US" w:bidi="ar-SA"/>
      </w:rPr>
    </w:lvl>
    <w:lvl w:ilvl="3" w:tplc="98766390">
      <w:numFmt w:val="bullet"/>
      <w:lvlText w:val="•"/>
      <w:lvlJc w:val="left"/>
      <w:pPr>
        <w:ind w:left="3183" w:hanging="271"/>
      </w:pPr>
      <w:rPr>
        <w:rFonts w:hint="default"/>
        <w:lang w:val="en-GB" w:eastAsia="en-US" w:bidi="ar-SA"/>
      </w:rPr>
    </w:lvl>
    <w:lvl w:ilvl="4" w:tplc="0D8AB4C2">
      <w:numFmt w:val="bullet"/>
      <w:lvlText w:val="•"/>
      <w:lvlJc w:val="left"/>
      <w:pPr>
        <w:ind w:left="4024" w:hanging="271"/>
      </w:pPr>
      <w:rPr>
        <w:rFonts w:hint="default"/>
        <w:lang w:val="en-GB" w:eastAsia="en-US" w:bidi="ar-SA"/>
      </w:rPr>
    </w:lvl>
    <w:lvl w:ilvl="5" w:tplc="01C0A3A4">
      <w:numFmt w:val="bullet"/>
      <w:lvlText w:val="•"/>
      <w:lvlJc w:val="left"/>
      <w:pPr>
        <w:ind w:left="4865" w:hanging="271"/>
      </w:pPr>
      <w:rPr>
        <w:rFonts w:hint="default"/>
        <w:lang w:val="en-GB" w:eastAsia="en-US" w:bidi="ar-SA"/>
      </w:rPr>
    </w:lvl>
    <w:lvl w:ilvl="6" w:tplc="4DBCA274">
      <w:numFmt w:val="bullet"/>
      <w:lvlText w:val="•"/>
      <w:lvlJc w:val="left"/>
      <w:pPr>
        <w:ind w:left="5706" w:hanging="271"/>
      </w:pPr>
      <w:rPr>
        <w:rFonts w:hint="default"/>
        <w:lang w:val="en-GB" w:eastAsia="en-US" w:bidi="ar-SA"/>
      </w:rPr>
    </w:lvl>
    <w:lvl w:ilvl="7" w:tplc="CDB65552">
      <w:numFmt w:val="bullet"/>
      <w:lvlText w:val="•"/>
      <w:lvlJc w:val="left"/>
      <w:pPr>
        <w:ind w:left="6547" w:hanging="271"/>
      </w:pPr>
      <w:rPr>
        <w:rFonts w:hint="default"/>
        <w:lang w:val="en-GB" w:eastAsia="en-US" w:bidi="ar-SA"/>
      </w:rPr>
    </w:lvl>
    <w:lvl w:ilvl="8" w:tplc="C09CBF94">
      <w:numFmt w:val="bullet"/>
      <w:lvlText w:val="•"/>
      <w:lvlJc w:val="left"/>
      <w:pPr>
        <w:ind w:left="7388" w:hanging="271"/>
      </w:pPr>
      <w:rPr>
        <w:rFonts w:hint="default"/>
        <w:lang w:val="en-GB" w:eastAsia="en-US" w:bidi="ar-SA"/>
      </w:rPr>
    </w:lvl>
  </w:abstractNum>
  <w:abstractNum w:abstractNumId="10" w15:restartNumberingAfterBreak="0">
    <w:nsid w:val="2F662B14"/>
    <w:multiLevelType w:val="hybridMultilevel"/>
    <w:tmpl w:val="BB7AB8B6"/>
    <w:lvl w:ilvl="0" w:tplc="B3402F1E">
      <w:start w:val="1"/>
      <w:numFmt w:val="decimal"/>
      <w:lvlText w:val="%1."/>
      <w:lvlJc w:val="left"/>
      <w:pPr>
        <w:ind w:left="1094" w:hanging="397"/>
      </w:pPr>
      <w:rPr>
        <w:rFonts w:ascii="Trebuchet MS" w:eastAsia="Trebuchet MS" w:hAnsi="Trebuchet MS" w:cs="Trebuchet MS" w:hint="default"/>
        <w:b w:val="0"/>
        <w:bCs w:val="0"/>
        <w:i w:val="0"/>
        <w:iCs w:val="0"/>
        <w:w w:val="65"/>
        <w:sz w:val="18"/>
        <w:szCs w:val="18"/>
        <w:lang w:val="en-GB" w:eastAsia="en-US" w:bidi="ar-SA"/>
      </w:rPr>
    </w:lvl>
    <w:lvl w:ilvl="1" w:tplc="06729D88">
      <w:numFmt w:val="bullet"/>
      <w:lvlText w:val="•"/>
      <w:lvlJc w:val="left"/>
      <w:pPr>
        <w:ind w:left="1988" w:hanging="397"/>
      </w:pPr>
      <w:rPr>
        <w:rFonts w:hint="default"/>
        <w:lang w:val="en-GB" w:eastAsia="en-US" w:bidi="ar-SA"/>
      </w:rPr>
    </w:lvl>
    <w:lvl w:ilvl="2" w:tplc="E73CA9A0">
      <w:numFmt w:val="bullet"/>
      <w:lvlText w:val="•"/>
      <w:lvlJc w:val="left"/>
      <w:pPr>
        <w:ind w:left="2877" w:hanging="397"/>
      </w:pPr>
      <w:rPr>
        <w:rFonts w:hint="default"/>
        <w:lang w:val="en-GB" w:eastAsia="en-US" w:bidi="ar-SA"/>
      </w:rPr>
    </w:lvl>
    <w:lvl w:ilvl="3" w:tplc="D9FC46E6">
      <w:numFmt w:val="bullet"/>
      <w:lvlText w:val="•"/>
      <w:lvlJc w:val="left"/>
      <w:pPr>
        <w:ind w:left="3765" w:hanging="397"/>
      </w:pPr>
      <w:rPr>
        <w:rFonts w:hint="default"/>
        <w:lang w:val="en-GB" w:eastAsia="en-US" w:bidi="ar-SA"/>
      </w:rPr>
    </w:lvl>
    <w:lvl w:ilvl="4" w:tplc="6276AEF8">
      <w:numFmt w:val="bullet"/>
      <w:lvlText w:val="•"/>
      <w:lvlJc w:val="left"/>
      <w:pPr>
        <w:ind w:left="4654" w:hanging="397"/>
      </w:pPr>
      <w:rPr>
        <w:rFonts w:hint="default"/>
        <w:lang w:val="en-GB" w:eastAsia="en-US" w:bidi="ar-SA"/>
      </w:rPr>
    </w:lvl>
    <w:lvl w:ilvl="5" w:tplc="D6701ECA">
      <w:numFmt w:val="bullet"/>
      <w:lvlText w:val="•"/>
      <w:lvlJc w:val="left"/>
      <w:pPr>
        <w:ind w:left="5542" w:hanging="397"/>
      </w:pPr>
      <w:rPr>
        <w:rFonts w:hint="default"/>
        <w:lang w:val="en-GB" w:eastAsia="en-US" w:bidi="ar-SA"/>
      </w:rPr>
    </w:lvl>
    <w:lvl w:ilvl="6" w:tplc="786890E8">
      <w:numFmt w:val="bullet"/>
      <w:lvlText w:val="•"/>
      <w:lvlJc w:val="left"/>
      <w:pPr>
        <w:ind w:left="6431" w:hanging="397"/>
      </w:pPr>
      <w:rPr>
        <w:rFonts w:hint="default"/>
        <w:lang w:val="en-GB" w:eastAsia="en-US" w:bidi="ar-SA"/>
      </w:rPr>
    </w:lvl>
    <w:lvl w:ilvl="7" w:tplc="99607E84">
      <w:numFmt w:val="bullet"/>
      <w:lvlText w:val="•"/>
      <w:lvlJc w:val="left"/>
      <w:pPr>
        <w:ind w:left="7319" w:hanging="397"/>
      </w:pPr>
      <w:rPr>
        <w:rFonts w:hint="default"/>
        <w:lang w:val="en-GB" w:eastAsia="en-US" w:bidi="ar-SA"/>
      </w:rPr>
    </w:lvl>
    <w:lvl w:ilvl="8" w:tplc="EB5CC3A0">
      <w:numFmt w:val="bullet"/>
      <w:lvlText w:val="•"/>
      <w:lvlJc w:val="left"/>
      <w:pPr>
        <w:ind w:left="8208" w:hanging="397"/>
      </w:pPr>
      <w:rPr>
        <w:rFonts w:hint="default"/>
        <w:lang w:val="en-GB" w:eastAsia="en-US" w:bidi="ar-SA"/>
      </w:rPr>
    </w:lvl>
  </w:abstractNum>
  <w:abstractNum w:abstractNumId="1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E21865"/>
    <w:multiLevelType w:val="hybridMultilevel"/>
    <w:tmpl w:val="269A2FC0"/>
    <w:lvl w:ilvl="0" w:tplc="5980D76C">
      <w:numFmt w:val="bullet"/>
      <w:lvlText w:val="•"/>
      <w:lvlJc w:val="left"/>
      <w:pPr>
        <w:ind w:left="660" w:hanging="284"/>
      </w:pPr>
      <w:rPr>
        <w:rFonts w:ascii="Trebuchet MS" w:eastAsia="Trebuchet MS" w:hAnsi="Trebuchet MS" w:cs="Trebuchet MS" w:hint="default"/>
        <w:b w:val="0"/>
        <w:bCs w:val="0"/>
        <w:i w:val="0"/>
        <w:iCs w:val="0"/>
        <w:w w:val="61"/>
        <w:sz w:val="20"/>
        <w:szCs w:val="20"/>
        <w:lang w:val="en-GB" w:eastAsia="en-US" w:bidi="ar-SA"/>
      </w:rPr>
    </w:lvl>
    <w:lvl w:ilvl="1" w:tplc="E4948CEA">
      <w:numFmt w:val="bullet"/>
      <w:lvlText w:val="•"/>
      <w:lvlJc w:val="left"/>
      <w:pPr>
        <w:ind w:left="1501" w:hanging="284"/>
      </w:pPr>
      <w:rPr>
        <w:rFonts w:hint="default"/>
        <w:lang w:val="en-GB" w:eastAsia="en-US" w:bidi="ar-SA"/>
      </w:rPr>
    </w:lvl>
    <w:lvl w:ilvl="2" w:tplc="92A68D42">
      <w:numFmt w:val="bullet"/>
      <w:lvlText w:val="•"/>
      <w:lvlJc w:val="left"/>
      <w:pPr>
        <w:ind w:left="2342" w:hanging="284"/>
      </w:pPr>
      <w:rPr>
        <w:rFonts w:hint="default"/>
        <w:lang w:val="en-GB" w:eastAsia="en-US" w:bidi="ar-SA"/>
      </w:rPr>
    </w:lvl>
    <w:lvl w:ilvl="3" w:tplc="A9B04780">
      <w:numFmt w:val="bullet"/>
      <w:lvlText w:val="•"/>
      <w:lvlJc w:val="left"/>
      <w:pPr>
        <w:ind w:left="3183" w:hanging="284"/>
      </w:pPr>
      <w:rPr>
        <w:rFonts w:hint="default"/>
        <w:lang w:val="en-GB" w:eastAsia="en-US" w:bidi="ar-SA"/>
      </w:rPr>
    </w:lvl>
    <w:lvl w:ilvl="4" w:tplc="9028F7AA">
      <w:numFmt w:val="bullet"/>
      <w:lvlText w:val="•"/>
      <w:lvlJc w:val="left"/>
      <w:pPr>
        <w:ind w:left="4024" w:hanging="284"/>
      </w:pPr>
      <w:rPr>
        <w:rFonts w:hint="default"/>
        <w:lang w:val="en-GB" w:eastAsia="en-US" w:bidi="ar-SA"/>
      </w:rPr>
    </w:lvl>
    <w:lvl w:ilvl="5" w:tplc="0060D7D4">
      <w:numFmt w:val="bullet"/>
      <w:lvlText w:val="•"/>
      <w:lvlJc w:val="left"/>
      <w:pPr>
        <w:ind w:left="4865" w:hanging="284"/>
      </w:pPr>
      <w:rPr>
        <w:rFonts w:hint="default"/>
        <w:lang w:val="en-GB" w:eastAsia="en-US" w:bidi="ar-SA"/>
      </w:rPr>
    </w:lvl>
    <w:lvl w:ilvl="6" w:tplc="7DBE837A">
      <w:numFmt w:val="bullet"/>
      <w:lvlText w:val="•"/>
      <w:lvlJc w:val="left"/>
      <w:pPr>
        <w:ind w:left="5706" w:hanging="284"/>
      </w:pPr>
      <w:rPr>
        <w:rFonts w:hint="default"/>
        <w:lang w:val="en-GB" w:eastAsia="en-US" w:bidi="ar-SA"/>
      </w:rPr>
    </w:lvl>
    <w:lvl w:ilvl="7" w:tplc="643A5CCE">
      <w:numFmt w:val="bullet"/>
      <w:lvlText w:val="•"/>
      <w:lvlJc w:val="left"/>
      <w:pPr>
        <w:ind w:left="6547" w:hanging="284"/>
      </w:pPr>
      <w:rPr>
        <w:rFonts w:hint="default"/>
        <w:lang w:val="en-GB" w:eastAsia="en-US" w:bidi="ar-SA"/>
      </w:rPr>
    </w:lvl>
    <w:lvl w:ilvl="8" w:tplc="C368EC5A">
      <w:numFmt w:val="bullet"/>
      <w:lvlText w:val="•"/>
      <w:lvlJc w:val="left"/>
      <w:pPr>
        <w:ind w:left="7388" w:hanging="284"/>
      </w:pPr>
      <w:rPr>
        <w:rFonts w:hint="default"/>
        <w:lang w:val="en-GB" w:eastAsia="en-US" w:bidi="ar-SA"/>
      </w:rPr>
    </w:lvl>
  </w:abstractNum>
  <w:abstractNum w:abstractNumId="14"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4"/>
  </w:num>
  <w:num w:numId="2">
    <w:abstractNumId w:val="11"/>
  </w:num>
  <w:num w:numId="3">
    <w:abstractNumId w:val="12"/>
  </w:num>
  <w:num w:numId="4">
    <w:abstractNumId w:val="2"/>
  </w:num>
  <w:num w:numId="5">
    <w:abstractNumId w:val="0"/>
  </w:num>
  <w:num w:numId="6">
    <w:abstractNumId w:val="10"/>
  </w:num>
  <w:num w:numId="7">
    <w:abstractNumId w:val="6"/>
  </w:num>
  <w:num w:numId="8">
    <w:abstractNumId w:val="5"/>
  </w:num>
  <w:num w:numId="9">
    <w:abstractNumId w:val="8"/>
  </w:num>
  <w:num w:numId="10">
    <w:abstractNumId w:val="4"/>
  </w:num>
  <w:num w:numId="11">
    <w:abstractNumId w:val="1"/>
  </w:num>
  <w:num w:numId="12">
    <w:abstractNumId w:val="9"/>
  </w:num>
  <w:num w:numId="13">
    <w:abstractNumId w:val="3"/>
  </w:num>
  <w:num w:numId="14">
    <w:abstractNumId w:val="13"/>
  </w:num>
  <w:num w:numId="1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34D"/>
    <w:rsid w:val="00005BB5"/>
    <w:rsid w:val="00011EF6"/>
    <w:rsid w:val="000144DE"/>
    <w:rsid w:val="000163A2"/>
    <w:rsid w:val="00025A6F"/>
    <w:rsid w:val="0002618D"/>
    <w:rsid w:val="00030B26"/>
    <w:rsid w:val="00030E84"/>
    <w:rsid w:val="00032C0A"/>
    <w:rsid w:val="00033B4E"/>
    <w:rsid w:val="00035257"/>
    <w:rsid w:val="00035D68"/>
    <w:rsid w:val="00036027"/>
    <w:rsid w:val="000419A9"/>
    <w:rsid w:val="00043D21"/>
    <w:rsid w:val="00045613"/>
    <w:rsid w:val="0004643E"/>
    <w:rsid w:val="00047899"/>
    <w:rsid w:val="00047D6F"/>
    <w:rsid w:val="00053921"/>
    <w:rsid w:val="000546DD"/>
    <w:rsid w:val="00054B44"/>
    <w:rsid w:val="0006006B"/>
    <w:rsid w:val="0006228D"/>
    <w:rsid w:val="00063D12"/>
    <w:rsid w:val="0006563B"/>
    <w:rsid w:val="00072BD6"/>
    <w:rsid w:val="00075B78"/>
    <w:rsid w:val="000763E9"/>
    <w:rsid w:val="00076A20"/>
    <w:rsid w:val="0008214D"/>
    <w:rsid w:val="00082CD6"/>
    <w:rsid w:val="0008437D"/>
    <w:rsid w:val="00085AFE"/>
    <w:rsid w:val="00094800"/>
    <w:rsid w:val="000A0158"/>
    <w:rsid w:val="000A0B2F"/>
    <w:rsid w:val="000A373D"/>
    <w:rsid w:val="000A41ED"/>
    <w:rsid w:val="000B0730"/>
    <w:rsid w:val="000B2DC6"/>
    <w:rsid w:val="000C51AB"/>
    <w:rsid w:val="000D19F4"/>
    <w:rsid w:val="000D58DD"/>
    <w:rsid w:val="000E0BD4"/>
    <w:rsid w:val="000E6398"/>
    <w:rsid w:val="000E6425"/>
    <w:rsid w:val="000E650D"/>
    <w:rsid w:val="000F1F42"/>
    <w:rsid w:val="000F2AE2"/>
    <w:rsid w:val="000F2BFF"/>
    <w:rsid w:val="00102063"/>
    <w:rsid w:val="00105238"/>
    <w:rsid w:val="0010541C"/>
    <w:rsid w:val="00105770"/>
    <w:rsid w:val="00106F93"/>
    <w:rsid w:val="001077EA"/>
    <w:rsid w:val="00111D50"/>
    <w:rsid w:val="00113B8E"/>
    <w:rsid w:val="00117F59"/>
    <w:rsid w:val="0012053C"/>
    <w:rsid w:val="00120C4C"/>
    <w:rsid w:val="00122363"/>
    <w:rsid w:val="00125D45"/>
    <w:rsid w:val="001342C7"/>
    <w:rsid w:val="0013585C"/>
    <w:rsid w:val="00142261"/>
    <w:rsid w:val="00142954"/>
    <w:rsid w:val="001460E0"/>
    <w:rsid w:val="001461A3"/>
    <w:rsid w:val="001472F0"/>
    <w:rsid w:val="00147F71"/>
    <w:rsid w:val="00150A6E"/>
    <w:rsid w:val="00153598"/>
    <w:rsid w:val="00160810"/>
    <w:rsid w:val="0016304B"/>
    <w:rsid w:val="0016318F"/>
    <w:rsid w:val="0016468A"/>
    <w:rsid w:val="0017070E"/>
    <w:rsid w:val="00174F02"/>
    <w:rsid w:val="001803AA"/>
    <w:rsid w:val="0018376C"/>
    <w:rsid w:val="0018662D"/>
    <w:rsid w:val="00197427"/>
    <w:rsid w:val="001A21B4"/>
    <w:rsid w:val="001A5CF5"/>
    <w:rsid w:val="001B39D2"/>
    <w:rsid w:val="001B4BF8"/>
    <w:rsid w:val="001B7B14"/>
    <w:rsid w:val="001C4326"/>
    <w:rsid w:val="001C5526"/>
    <w:rsid w:val="001C665E"/>
    <w:rsid w:val="001D3541"/>
    <w:rsid w:val="001D3E4E"/>
    <w:rsid w:val="001E1A6C"/>
    <w:rsid w:val="001E254A"/>
    <w:rsid w:val="001E3E81"/>
    <w:rsid w:val="001E58D3"/>
    <w:rsid w:val="001E7386"/>
    <w:rsid w:val="001F1459"/>
    <w:rsid w:val="001F2296"/>
    <w:rsid w:val="001F45A7"/>
    <w:rsid w:val="001F5E27"/>
    <w:rsid w:val="0020027C"/>
    <w:rsid w:val="00200906"/>
    <w:rsid w:val="00201A01"/>
    <w:rsid w:val="0020754B"/>
    <w:rsid w:val="002104D3"/>
    <w:rsid w:val="00213A33"/>
    <w:rsid w:val="00217214"/>
    <w:rsid w:val="0021763B"/>
    <w:rsid w:val="00232E9F"/>
    <w:rsid w:val="00233D86"/>
    <w:rsid w:val="00234D51"/>
    <w:rsid w:val="0023528E"/>
    <w:rsid w:val="00245748"/>
    <w:rsid w:val="00246DB1"/>
    <w:rsid w:val="002476B5"/>
    <w:rsid w:val="002520CC"/>
    <w:rsid w:val="00253ECF"/>
    <w:rsid w:val="00254044"/>
    <w:rsid w:val="002546A1"/>
    <w:rsid w:val="00255825"/>
    <w:rsid w:val="002575E8"/>
    <w:rsid w:val="00257EF1"/>
    <w:rsid w:val="002628F4"/>
    <w:rsid w:val="0027204C"/>
    <w:rsid w:val="002758DA"/>
    <w:rsid w:val="00275D08"/>
    <w:rsid w:val="002767B4"/>
    <w:rsid w:val="002839AF"/>
    <w:rsid w:val="00285080"/>
    <w:rsid w:val="002858E3"/>
    <w:rsid w:val="0029190A"/>
    <w:rsid w:val="0029210A"/>
    <w:rsid w:val="00292C5A"/>
    <w:rsid w:val="00295241"/>
    <w:rsid w:val="00295A02"/>
    <w:rsid w:val="002967E7"/>
    <w:rsid w:val="002A31A6"/>
    <w:rsid w:val="002A4DFC"/>
    <w:rsid w:val="002B047D"/>
    <w:rsid w:val="002B5FDB"/>
    <w:rsid w:val="002B732B"/>
    <w:rsid w:val="002B76A7"/>
    <w:rsid w:val="002B7BEC"/>
    <w:rsid w:val="002C2219"/>
    <w:rsid w:val="002C2552"/>
    <w:rsid w:val="002C380A"/>
    <w:rsid w:val="002D0DF2"/>
    <w:rsid w:val="002D23BD"/>
    <w:rsid w:val="002E0B47"/>
    <w:rsid w:val="002F3A0D"/>
    <w:rsid w:val="002F4685"/>
    <w:rsid w:val="002F7213"/>
    <w:rsid w:val="003032E9"/>
    <w:rsid w:val="0030382F"/>
    <w:rsid w:val="0030408D"/>
    <w:rsid w:val="003060E4"/>
    <w:rsid w:val="003160E7"/>
    <w:rsid w:val="0031739E"/>
    <w:rsid w:val="00317DA3"/>
    <w:rsid w:val="00321381"/>
    <w:rsid w:val="003235C6"/>
    <w:rsid w:val="00327D8A"/>
    <w:rsid w:val="003309CA"/>
    <w:rsid w:val="003325AB"/>
    <w:rsid w:val="003332D1"/>
    <w:rsid w:val="003338B6"/>
    <w:rsid w:val="0033412B"/>
    <w:rsid w:val="0033448B"/>
    <w:rsid w:val="00341161"/>
    <w:rsid w:val="00343365"/>
    <w:rsid w:val="003445F4"/>
    <w:rsid w:val="00347962"/>
    <w:rsid w:val="00351028"/>
    <w:rsid w:val="00353501"/>
    <w:rsid w:val="00353734"/>
    <w:rsid w:val="003538D4"/>
    <w:rsid w:val="003606F8"/>
    <w:rsid w:val="003648EF"/>
    <w:rsid w:val="003673E6"/>
    <w:rsid w:val="00374570"/>
    <w:rsid w:val="00376431"/>
    <w:rsid w:val="00377264"/>
    <w:rsid w:val="003779D2"/>
    <w:rsid w:val="00385E38"/>
    <w:rsid w:val="00394E04"/>
    <w:rsid w:val="003952F9"/>
    <w:rsid w:val="003A26A5"/>
    <w:rsid w:val="003A3761"/>
    <w:rsid w:val="003A512D"/>
    <w:rsid w:val="003A5FEA"/>
    <w:rsid w:val="003A710B"/>
    <w:rsid w:val="003B1D10"/>
    <w:rsid w:val="003C310C"/>
    <w:rsid w:val="003C5278"/>
    <w:rsid w:val="003C76D4"/>
    <w:rsid w:val="003D137D"/>
    <w:rsid w:val="003D2655"/>
    <w:rsid w:val="003D2CC5"/>
    <w:rsid w:val="003D3781"/>
    <w:rsid w:val="003D3E5C"/>
    <w:rsid w:val="003D59BB"/>
    <w:rsid w:val="003E04C1"/>
    <w:rsid w:val="003E0887"/>
    <w:rsid w:val="003E1098"/>
    <w:rsid w:val="003E7142"/>
    <w:rsid w:val="003E74C8"/>
    <w:rsid w:val="003E74E2"/>
    <w:rsid w:val="003E7C46"/>
    <w:rsid w:val="003F2106"/>
    <w:rsid w:val="003F52A7"/>
    <w:rsid w:val="003F7013"/>
    <w:rsid w:val="003F7F6A"/>
    <w:rsid w:val="0040240C"/>
    <w:rsid w:val="00413021"/>
    <w:rsid w:val="00414C35"/>
    <w:rsid w:val="004171B7"/>
    <w:rsid w:val="004301C6"/>
    <w:rsid w:val="0043478F"/>
    <w:rsid w:val="0043602B"/>
    <w:rsid w:val="004367D2"/>
    <w:rsid w:val="004374D1"/>
    <w:rsid w:val="00440BE0"/>
    <w:rsid w:val="00442A06"/>
    <w:rsid w:val="00442C1C"/>
    <w:rsid w:val="0044584B"/>
    <w:rsid w:val="00447CB7"/>
    <w:rsid w:val="00455CC9"/>
    <w:rsid w:val="00460826"/>
    <w:rsid w:val="00460B1E"/>
    <w:rsid w:val="00460EA7"/>
    <w:rsid w:val="004616F4"/>
    <w:rsid w:val="0046195B"/>
    <w:rsid w:val="0046362D"/>
    <w:rsid w:val="0046596D"/>
    <w:rsid w:val="00465AE2"/>
    <w:rsid w:val="004805C8"/>
    <w:rsid w:val="00483F40"/>
    <w:rsid w:val="004852AB"/>
    <w:rsid w:val="00487C04"/>
    <w:rsid w:val="004907E1"/>
    <w:rsid w:val="00494C8E"/>
    <w:rsid w:val="004A035B"/>
    <w:rsid w:val="004A2108"/>
    <w:rsid w:val="004A38D7"/>
    <w:rsid w:val="004A47C5"/>
    <w:rsid w:val="004A778C"/>
    <w:rsid w:val="004B14DD"/>
    <w:rsid w:val="004B29AD"/>
    <w:rsid w:val="004B48C7"/>
    <w:rsid w:val="004C2E6A"/>
    <w:rsid w:val="004C64B8"/>
    <w:rsid w:val="004D2A2D"/>
    <w:rsid w:val="004D479F"/>
    <w:rsid w:val="004D6689"/>
    <w:rsid w:val="004E1D1D"/>
    <w:rsid w:val="004E7AC8"/>
    <w:rsid w:val="004F05F4"/>
    <w:rsid w:val="004F0C94"/>
    <w:rsid w:val="005019AE"/>
    <w:rsid w:val="00503749"/>
    <w:rsid w:val="00503D59"/>
    <w:rsid w:val="00504CF4"/>
    <w:rsid w:val="0050635B"/>
    <w:rsid w:val="005075B3"/>
    <w:rsid w:val="005151C2"/>
    <w:rsid w:val="005205B8"/>
    <w:rsid w:val="00521114"/>
    <w:rsid w:val="00521E6D"/>
    <w:rsid w:val="00524BB1"/>
    <w:rsid w:val="005275E8"/>
    <w:rsid w:val="005309FE"/>
    <w:rsid w:val="0053199F"/>
    <w:rsid w:val="00531E12"/>
    <w:rsid w:val="00533B90"/>
    <w:rsid w:val="005410F8"/>
    <w:rsid w:val="005448EC"/>
    <w:rsid w:val="00545963"/>
    <w:rsid w:val="00550256"/>
    <w:rsid w:val="00552B1F"/>
    <w:rsid w:val="00553165"/>
    <w:rsid w:val="00553958"/>
    <w:rsid w:val="00556BB7"/>
    <w:rsid w:val="0055763D"/>
    <w:rsid w:val="00561516"/>
    <w:rsid w:val="00562018"/>
    <w:rsid w:val="005621F2"/>
    <w:rsid w:val="00563EDA"/>
    <w:rsid w:val="0056440F"/>
    <w:rsid w:val="00567B58"/>
    <w:rsid w:val="00571223"/>
    <w:rsid w:val="005718A6"/>
    <w:rsid w:val="0057267E"/>
    <w:rsid w:val="00573548"/>
    <w:rsid w:val="005763E0"/>
    <w:rsid w:val="00581136"/>
    <w:rsid w:val="00581EB8"/>
    <w:rsid w:val="005839E7"/>
    <w:rsid w:val="0058437F"/>
    <w:rsid w:val="00596A28"/>
    <w:rsid w:val="00597457"/>
    <w:rsid w:val="005A27CA"/>
    <w:rsid w:val="005A43BD"/>
    <w:rsid w:val="005A79E5"/>
    <w:rsid w:val="005D034C"/>
    <w:rsid w:val="005D21AB"/>
    <w:rsid w:val="005D36A5"/>
    <w:rsid w:val="005D41CC"/>
    <w:rsid w:val="005E226E"/>
    <w:rsid w:val="005E2636"/>
    <w:rsid w:val="00600DC6"/>
    <w:rsid w:val="006015D7"/>
    <w:rsid w:val="00601B21"/>
    <w:rsid w:val="0060405B"/>
    <w:rsid w:val="006041F0"/>
    <w:rsid w:val="00605C6D"/>
    <w:rsid w:val="006120CA"/>
    <w:rsid w:val="0061443A"/>
    <w:rsid w:val="00624174"/>
    <w:rsid w:val="00626CF8"/>
    <w:rsid w:val="00630E6F"/>
    <w:rsid w:val="006314AF"/>
    <w:rsid w:val="00634003"/>
    <w:rsid w:val="006343EE"/>
    <w:rsid w:val="00634ED8"/>
    <w:rsid w:val="00636D7D"/>
    <w:rsid w:val="00637408"/>
    <w:rsid w:val="006427DD"/>
    <w:rsid w:val="00642868"/>
    <w:rsid w:val="00647AFE"/>
    <w:rsid w:val="00650417"/>
    <w:rsid w:val="006512BC"/>
    <w:rsid w:val="00652D3B"/>
    <w:rsid w:val="00653A5A"/>
    <w:rsid w:val="006554AC"/>
    <w:rsid w:val="00656F28"/>
    <w:rsid w:val="006575F4"/>
    <w:rsid w:val="006579E6"/>
    <w:rsid w:val="00660682"/>
    <w:rsid w:val="00660F74"/>
    <w:rsid w:val="00663EDC"/>
    <w:rsid w:val="00671078"/>
    <w:rsid w:val="006758CA"/>
    <w:rsid w:val="00680A04"/>
    <w:rsid w:val="00684E35"/>
    <w:rsid w:val="00686A31"/>
    <w:rsid w:val="00686D80"/>
    <w:rsid w:val="00694895"/>
    <w:rsid w:val="00697E2E"/>
    <w:rsid w:val="006A25A2"/>
    <w:rsid w:val="006A3B87"/>
    <w:rsid w:val="006A3EE7"/>
    <w:rsid w:val="006B0A88"/>
    <w:rsid w:val="006B0E73"/>
    <w:rsid w:val="006B1E3D"/>
    <w:rsid w:val="006B345B"/>
    <w:rsid w:val="006B4A4D"/>
    <w:rsid w:val="006B5695"/>
    <w:rsid w:val="006B62E6"/>
    <w:rsid w:val="006B7B2E"/>
    <w:rsid w:val="006C78EB"/>
    <w:rsid w:val="006D1660"/>
    <w:rsid w:val="006D38BE"/>
    <w:rsid w:val="006D63E5"/>
    <w:rsid w:val="006E1753"/>
    <w:rsid w:val="006E2886"/>
    <w:rsid w:val="006E3911"/>
    <w:rsid w:val="006E6019"/>
    <w:rsid w:val="006E69F4"/>
    <w:rsid w:val="006F1B67"/>
    <w:rsid w:val="006F4D9C"/>
    <w:rsid w:val="007001C2"/>
    <w:rsid w:val="0070091D"/>
    <w:rsid w:val="00702854"/>
    <w:rsid w:val="00714DC4"/>
    <w:rsid w:val="0071741C"/>
    <w:rsid w:val="00742B90"/>
    <w:rsid w:val="0074434D"/>
    <w:rsid w:val="00752E53"/>
    <w:rsid w:val="007570C4"/>
    <w:rsid w:val="007605B8"/>
    <w:rsid w:val="00760D6B"/>
    <w:rsid w:val="00771B1E"/>
    <w:rsid w:val="00773C95"/>
    <w:rsid w:val="007740F9"/>
    <w:rsid w:val="0078171E"/>
    <w:rsid w:val="0078658E"/>
    <w:rsid w:val="007920E2"/>
    <w:rsid w:val="0079566E"/>
    <w:rsid w:val="00795B34"/>
    <w:rsid w:val="007979D9"/>
    <w:rsid w:val="007A067F"/>
    <w:rsid w:val="007A2595"/>
    <w:rsid w:val="007B1770"/>
    <w:rsid w:val="007B4D3E"/>
    <w:rsid w:val="007B6224"/>
    <w:rsid w:val="007B7C70"/>
    <w:rsid w:val="007B7DEB"/>
    <w:rsid w:val="007C0449"/>
    <w:rsid w:val="007C43B6"/>
    <w:rsid w:val="007D2151"/>
    <w:rsid w:val="007D235D"/>
    <w:rsid w:val="007D3B90"/>
    <w:rsid w:val="007D42CC"/>
    <w:rsid w:val="007D5DE4"/>
    <w:rsid w:val="007D7C3A"/>
    <w:rsid w:val="007E0777"/>
    <w:rsid w:val="007E1341"/>
    <w:rsid w:val="007E1B41"/>
    <w:rsid w:val="007E1EC4"/>
    <w:rsid w:val="007E30B9"/>
    <w:rsid w:val="007E74F1"/>
    <w:rsid w:val="007F0F0C"/>
    <w:rsid w:val="007F1288"/>
    <w:rsid w:val="007F3E11"/>
    <w:rsid w:val="007F75DB"/>
    <w:rsid w:val="00800A8A"/>
    <w:rsid w:val="0080155C"/>
    <w:rsid w:val="008052E1"/>
    <w:rsid w:val="00811EEB"/>
    <w:rsid w:val="0082081A"/>
    <w:rsid w:val="00822F2C"/>
    <w:rsid w:val="00823C25"/>
    <w:rsid w:val="00823DEE"/>
    <w:rsid w:val="008305E8"/>
    <w:rsid w:val="00830851"/>
    <w:rsid w:val="00834C75"/>
    <w:rsid w:val="00836165"/>
    <w:rsid w:val="008365B2"/>
    <w:rsid w:val="0084640C"/>
    <w:rsid w:val="00852C5D"/>
    <w:rsid w:val="00856088"/>
    <w:rsid w:val="0085714C"/>
    <w:rsid w:val="00860826"/>
    <w:rsid w:val="00860E21"/>
    <w:rsid w:val="00863117"/>
    <w:rsid w:val="0086388B"/>
    <w:rsid w:val="008642E5"/>
    <w:rsid w:val="00864488"/>
    <w:rsid w:val="00870A36"/>
    <w:rsid w:val="00872D93"/>
    <w:rsid w:val="008751AF"/>
    <w:rsid w:val="008774E0"/>
    <w:rsid w:val="00877818"/>
    <w:rsid w:val="00880470"/>
    <w:rsid w:val="00880D94"/>
    <w:rsid w:val="008814E8"/>
    <w:rsid w:val="0088382B"/>
    <w:rsid w:val="0088615C"/>
    <w:rsid w:val="00886F64"/>
    <w:rsid w:val="008924DE"/>
    <w:rsid w:val="008A3755"/>
    <w:rsid w:val="008A788A"/>
    <w:rsid w:val="008B19DC"/>
    <w:rsid w:val="008B264F"/>
    <w:rsid w:val="008B6F83"/>
    <w:rsid w:val="008B7FD8"/>
    <w:rsid w:val="008C11AC"/>
    <w:rsid w:val="008C2973"/>
    <w:rsid w:val="008C6324"/>
    <w:rsid w:val="008C64C4"/>
    <w:rsid w:val="008D0C7A"/>
    <w:rsid w:val="008D10F0"/>
    <w:rsid w:val="008D1D30"/>
    <w:rsid w:val="008D2CDD"/>
    <w:rsid w:val="008D67EB"/>
    <w:rsid w:val="008D74D5"/>
    <w:rsid w:val="008D7C9F"/>
    <w:rsid w:val="008E04BA"/>
    <w:rsid w:val="008E098D"/>
    <w:rsid w:val="008E0ED1"/>
    <w:rsid w:val="008E2083"/>
    <w:rsid w:val="008E3A07"/>
    <w:rsid w:val="008E537B"/>
    <w:rsid w:val="008F29BE"/>
    <w:rsid w:val="008F4AE5"/>
    <w:rsid w:val="008F51EB"/>
    <w:rsid w:val="008F7096"/>
    <w:rsid w:val="00900197"/>
    <w:rsid w:val="009021B1"/>
    <w:rsid w:val="00902F55"/>
    <w:rsid w:val="00905251"/>
    <w:rsid w:val="0090582B"/>
    <w:rsid w:val="009060C0"/>
    <w:rsid w:val="009133F5"/>
    <w:rsid w:val="009145C6"/>
    <w:rsid w:val="0091756F"/>
    <w:rsid w:val="00920A27"/>
    <w:rsid w:val="00921216"/>
    <w:rsid w:val="009216CC"/>
    <w:rsid w:val="00922E41"/>
    <w:rsid w:val="00925892"/>
    <w:rsid w:val="00926083"/>
    <w:rsid w:val="00926D08"/>
    <w:rsid w:val="009278A9"/>
    <w:rsid w:val="00930D08"/>
    <w:rsid w:val="00931466"/>
    <w:rsid w:val="00932D69"/>
    <w:rsid w:val="0093510B"/>
    <w:rsid w:val="009354FD"/>
    <w:rsid w:val="00935589"/>
    <w:rsid w:val="00937408"/>
    <w:rsid w:val="009427FA"/>
    <w:rsid w:val="00944647"/>
    <w:rsid w:val="009469E2"/>
    <w:rsid w:val="00950C95"/>
    <w:rsid w:val="00952F81"/>
    <w:rsid w:val="0095565C"/>
    <w:rsid w:val="00956FDC"/>
    <w:rsid w:val="00961B35"/>
    <w:rsid w:val="00964AB6"/>
    <w:rsid w:val="00966F9A"/>
    <w:rsid w:val="00977B8A"/>
    <w:rsid w:val="00982971"/>
    <w:rsid w:val="00983AEB"/>
    <w:rsid w:val="009845AD"/>
    <w:rsid w:val="00984835"/>
    <w:rsid w:val="00990345"/>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B47"/>
    <w:rsid w:val="009E3C8C"/>
    <w:rsid w:val="009E6B77"/>
    <w:rsid w:val="009F4372"/>
    <w:rsid w:val="009F460A"/>
    <w:rsid w:val="00A043FB"/>
    <w:rsid w:val="00A06BE4"/>
    <w:rsid w:val="00A0729C"/>
    <w:rsid w:val="00A073CF"/>
    <w:rsid w:val="00A07779"/>
    <w:rsid w:val="00A1166A"/>
    <w:rsid w:val="00A15BFC"/>
    <w:rsid w:val="00A20B2E"/>
    <w:rsid w:val="00A24F33"/>
    <w:rsid w:val="00A25069"/>
    <w:rsid w:val="00A26E6B"/>
    <w:rsid w:val="00A3068F"/>
    <w:rsid w:val="00A3145B"/>
    <w:rsid w:val="00A339D0"/>
    <w:rsid w:val="00A3415C"/>
    <w:rsid w:val="00A359A2"/>
    <w:rsid w:val="00A41002"/>
    <w:rsid w:val="00A4201A"/>
    <w:rsid w:val="00A531DE"/>
    <w:rsid w:val="00A5465D"/>
    <w:rsid w:val="00A553CE"/>
    <w:rsid w:val="00A5677A"/>
    <w:rsid w:val="00A56DCC"/>
    <w:rsid w:val="00A625E8"/>
    <w:rsid w:val="00A63DFF"/>
    <w:rsid w:val="00A64496"/>
    <w:rsid w:val="00A6490D"/>
    <w:rsid w:val="00A67033"/>
    <w:rsid w:val="00A7415D"/>
    <w:rsid w:val="00A80363"/>
    <w:rsid w:val="00A80939"/>
    <w:rsid w:val="00A83E9D"/>
    <w:rsid w:val="00A87C05"/>
    <w:rsid w:val="00A9169D"/>
    <w:rsid w:val="00A93598"/>
    <w:rsid w:val="00A97A3A"/>
    <w:rsid w:val="00AA240C"/>
    <w:rsid w:val="00AB0332"/>
    <w:rsid w:val="00AB11A2"/>
    <w:rsid w:val="00AB2974"/>
    <w:rsid w:val="00AB3864"/>
    <w:rsid w:val="00AC101C"/>
    <w:rsid w:val="00AD4CF1"/>
    <w:rsid w:val="00AD5988"/>
    <w:rsid w:val="00AD6293"/>
    <w:rsid w:val="00AE1643"/>
    <w:rsid w:val="00AE16AF"/>
    <w:rsid w:val="00AF372E"/>
    <w:rsid w:val="00AF7800"/>
    <w:rsid w:val="00B00CF5"/>
    <w:rsid w:val="00B072E0"/>
    <w:rsid w:val="00B1007E"/>
    <w:rsid w:val="00B13C0B"/>
    <w:rsid w:val="00B13D41"/>
    <w:rsid w:val="00B155FD"/>
    <w:rsid w:val="00B16FAF"/>
    <w:rsid w:val="00B253F6"/>
    <w:rsid w:val="00B26675"/>
    <w:rsid w:val="00B305DB"/>
    <w:rsid w:val="00B332F8"/>
    <w:rsid w:val="00B3492B"/>
    <w:rsid w:val="00B4294E"/>
    <w:rsid w:val="00B42B50"/>
    <w:rsid w:val="00B44C72"/>
    <w:rsid w:val="00B4646F"/>
    <w:rsid w:val="00B47C82"/>
    <w:rsid w:val="00B55C7D"/>
    <w:rsid w:val="00B564A9"/>
    <w:rsid w:val="00B63038"/>
    <w:rsid w:val="00B64BD8"/>
    <w:rsid w:val="00B701D1"/>
    <w:rsid w:val="00B73AF2"/>
    <w:rsid w:val="00B73D79"/>
    <w:rsid w:val="00B7551A"/>
    <w:rsid w:val="00B773F1"/>
    <w:rsid w:val="00B86AB1"/>
    <w:rsid w:val="00B87726"/>
    <w:rsid w:val="00B91B22"/>
    <w:rsid w:val="00BA7EBA"/>
    <w:rsid w:val="00BB2A06"/>
    <w:rsid w:val="00BB2CBB"/>
    <w:rsid w:val="00BB4198"/>
    <w:rsid w:val="00BB69ED"/>
    <w:rsid w:val="00BC03EE"/>
    <w:rsid w:val="00BC59F1"/>
    <w:rsid w:val="00BD488E"/>
    <w:rsid w:val="00BF3DE1"/>
    <w:rsid w:val="00BF4843"/>
    <w:rsid w:val="00BF5205"/>
    <w:rsid w:val="00C000B2"/>
    <w:rsid w:val="00C05132"/>
    <w:rsid w:val="00C12508"/>
    <w:rsid w:val="00C23728"/>
    <w:rsid w:val="00C3026C"/>
    <w:rsid w:val="00C313A9"/>
    <w:rsid w:val="00C347C8"/>
    <w:rsid w:val="00C358E4"/>
    <w:rsid w:val="00C418EE"/>
    <w:rsid w:val="00C441CF"/>
    <w:rsid w:val="00C45AA2"/>
    <w:rsid w:val="00C46BCF"/>
    <w:rsid w:val="00C4792C"/>
    <w:rsid w:val="00C51995"/>
    <w:rsid w:val="00C55BEF"/>
    <w:rsid w:val="00C57C00"/>
    <w:rsid w:val="00C601A7"/>
    <w:rsid w:val="00C601AF"/>
    <w:rsid w:val="00C61A63"/>
    <w:rsid w:val="00C66296"/>
    <w:rsid w:val="00C7093C"/>
    <w:rsid w:val="00C7394D"/>
    <w:rsid w:val="00C756B7"/>
    <w:rsid w:val="00C77282"/>
    <w:rsid w:val="00C827AC"/>
    <w:rsid w:val="00C84DE5"/>
    <w:rsid w:val="00C86248"/>
    <w:rsid w:val="00C90B31"/>
    <w:rsid w:val="00CA0D6F"/>
    <w:rsid w:val="00CA4C33"/>
    <w:rsid w:val="00CA66B1"/>
    <w:rsid w:val="00CA6F4A"/>
    <w:rsid w:val="00CA7ED1"/>
    <w:rsid w:val="00CB3483"/>
    <w:rsid w:val="00CB3915"/>
    <w:rsid w:val="00CB6427"/>
    <w:rsid w:val="00CB64EF"/>
    <w:rsid w:val="00CC0FBE"/>
    <w:rsid w:val="00CC384E"/>
    <w:rsid w:val="00CC6EA4"/>
    <w:rsid w:val="00CD077C"/>
    <w:rsid w:val="00CD2119"/>
    <w:rsid w:val="00CD237A"/>
    <w:rsid w:val="00CD36AC"/>
    <w:rsid w:val="00CD7344"/>
    <w:rsid w:val="00CE13A3"/>
    <w:rsid w:val="00CE36BC"/>
    <w:rsid w:val="00CF1747"/>
    <w:rsid w:val="00CF60ED"/>
    <w:rsid w:val="00D05D74"/>
    <w:rsid w:val="00D20C59"/>
    <w:rsid w:val="00D23323"/>
    <w:rsid w:val="00D2392A"/>
    <w:rsid w:val="00D25FFE"/>
    <w:rsid w:val="00D27922"/>
    <w:rsid w:val="00D27A64"/>
    <w:rsid w:val="00D336FB"/>
    <w:rsid w:val="00D33D6B"/>
    <w:rsid w:val="00D37D80"/>
    <w:rsid w:val="00D442F3"/>
    <w:rsid w:val="00D44483"/>
    <w:rsid w:val="00D4476F"/>
    <w:rsid w:val="00D50573"/>
    <w:rsid w:val="00D51073"/>
    <w:rsid w:val="00D54D50"/>
    <w:rsid w:val="00D560B4"/>
    <w:rsid w:val="00D61486"/>
    <w:rsid w:val="00D657A2"/>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7F9E"/>
    <w:rsid w:val="00DB39CF"/>
    <w:rsid w:val="00DB7256"/>
    <w:rsid w:val="00DC0401"/>
    <w:rsid w:val="00DC20BD"/>
    <w:rsid w:val="00DC5A55"/>
    <w:rsid w:val="00DC614D"/>
    <w:rsid w:val="00DC6AEF"/>
    <w:rsid w:val="00DC7DE7"/>
    <w:rsid w:val="00DD0BCD"/>
    <w:rsid w:val="00DD447A"/>
    <w:rsid w:val="00DE2860"/>
    <w:rsid w:val="00DE3B20"/>
    <w:rsid w:val="00DE6C94"/>
    <w:rsid w:val="00DE6FD7"/>
    <w:rsid w:val="00DF0C7C"/>
    <w:rsid w:val="00DF2609"/>
    <w:rsid w:val="00E10B18"/>
    <w:rsid w:val="00E23271"/>
    <w:rsid w:val="00E24F80"/>
    <w:rsid w:val="00E259F3"/>
    <w:rsid w:val="00E30985"/>
    <w:rsid w:val="00E33238"/>
    <w:rsid w:val="00E33934"/>
    <w:rsid w:val="00E376B7"/>
    <w:rsid w:val="00E42F5D"/>
    <w:rsid w:val="00E4486C"/>
    <w:rsid w:val="00E460B6"/>
    <w:rsid w:val="00E511D5"/>
    <w:rsid w:val="00E52321"/>
    <w:rsid w:val="00E53A9F"/>
    <w:rsid w:val="00E57349"/>
    <w:rsid w:val="00E60249"/>
    <w:rsid w:val="00E62238"/>
    <w:rsid w:val="00E65269"/>
    <w:rsid w:val="00E6746A"/>
    <w:rsid w:val="00E76D66"/>
    <w:rsid w:val="00E85CC5"/>
    <w:rsid w:val="00E863D5"/>
    <w:rsid w:val="00E87CF6"/>
    <w:rsid w:val="00EA796A"/>
    <w:rsid w:val="00EB1856"/>
    <w:rsid w:val="00EC50CE"/>
    <w:rsid w:val="00EC5B34"/>
    <w:rsid w:val="00ED021E"/>
    <w:rsid w:val="00ED323C"/>
    <w:rsid w:val="00EE2D5C"/>
    <w:rsid w:val="00EE4ADE"/>
    <w:rsid w:val="00EE4DE8"/>
    <w:rsid w:val="00EE5CB7"/>
    <w:rsid w:val="00EF27EC"/>
    <w:rsid w:val="00EF4BE0"/>
    <w:rsid w:val="00F000BF"/>
    <w:rsid w:val="00F024FE"/>
    <w:rsid w:val="00F05AD4"/>
    <w:rsid w:val="00F103BE"/>
    <w:rsid w:val="00F10EB6"/>
    <w:rsid w:val="00F13F07"/>
    <w:rsid w:val="00F140B2"/>
    <w:rsid w:val="00F16595"/>
    <w:rsid w:val="00F21D27"/>
    <w:rsid w:val="00F25970"/>
    <w:rsid w:val="00F311A9"/>
    <w:rsid w:val="00F31343"/>
    <w:rsid w:val="00F37381"/>
    <w:rsid w:val="00F50B6E"/>
    <w:rsid w:val="00F5180D"/>
    <w:rsid w:val="00F54E74"/>
    <w:rsid w:val="00F55AD0"/>
    <w:rsid w:val="00F63781"/>
    <w:rsid w:val="00F67496"/>
    <w:rsid w:val="00F729B7"/>
    <w:rsid w:val="00F7421E"/>
    <w:rsid w:val="00F801BA"/>
    <w:rsid w:val="00F807AD"/>
    <w:rsid w:val="00F9366A"/>
    <w:rsid w:val="00F946C9"/>
    <w:rsid w:val="00FA0EA5"/>
    <w:rsid w:val="00FA68C7"/>
    <w:rsid w:val="00FA74EE"/>
    <w:rsid w:val="00FB0A5B"/>
    <w:rsid w:val="00FB1B8E"/>
    <w:rsid w:val="00FC3711"/>
    <w:rsid w:val="00FC46E7"/>
    <w:rsid w:val="00FC5D25"/>
    <w:rsid w:val="00FD0D7E"/>
    <w:rsid w:val="00FD16C4"/>
    <w:rsid w:val="00FD362F"/>
    <w:rsid w:val="00FD4789"/>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F5C518"/>
  <w15:docId w15:val="{C70004E9-661C-46D6-9E63-6F8115D5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0B2"/>
    <w:pPr>
      <w:spacing w:line="264" w:lineRule="auto"/>
    </w:pPr>
    <w:rPr>
      <w:rFonts w:ascii="Fira Sans" w:hAnsi="Fira Sans"/>
      <w:lang w:eastAsia="en-GB"/>
    </w:rPr>
  </w:style>
  <w:style w:type="paragraph" w:styleId="Heading1">
    <w:name w:val="heading 1"/>
    <w:basedOn w:val="Normal"/>
    <w:next w:val="Normal"/>
    <w:link w:val="Heading1Char"/>
    <w:uiPriority w:val="1"/>
    <w:qFormat/>
    <w:rsid w:val="0000534D"/>
    <w:pPr>
      <w:pageBreakBefore/>
      <w:spacing w:after="360"/>
      <w:outlineLvl w:val="0"/>
    </w:pPr>
    <w:rPr>
      <w:b/>
      <w:caps/>
      <w:color w:val="2C463B"/>
      <w:spacing w:val="-10"/>
      <w:sz w:val="64"/>
    </w:rPr>
  </w:style>
  <w:style w:type="paragraph" w:styleId="Heading2">
    <w:name w:val="heading 2"/>
    <w:basedOn w:val="Normal"/>
    <w:next w:val="Normal"/>
    <w:link w:val="Heading2Char"/>
    <w:uiPriority w:val="1"/>
    <w:qFormat/>
    <w:rsid w:val="004374D1"/>
    <w:pPr>
      <w:keepNext/>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uiPriority w:val="1"/>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1"/>
    <w:qFormat/>
    <w:rsid w:val="004374D1"/>
    <w:pPr>
      <w:keepNext/>
      <w:spacing w:before="240" w:after="120"/>
      <w:outlineLvl w:val="3"/>
    </w:pPr>
    <w:rPr>
      <w:rFonts w:ascii="Montserrat" w:hAnsi="Montserrat"/>
      <w:sz w:val="28"/>
    </w:rPr>
  </w:style>
  <w:style w:type="paragraph" w:styleId="Heading5">
    <w:name w:val="heading 5"/>
    <w:basedOn w:val="Normal"/>
    <w:next w:val="Normal"/>
    <w:link w:val="Heading5Char"/>
    <w:uiPriority w:val="1"/>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1"/>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0534D"/>
    <w:rPr>
      <w:rFonts w:ascii="Fira Sans" w:hAnsi="Fira Sans"/>
      <w:b/>
      <w:caps/>
      <w:color w:val="2C463B"/>
      <w:spacing w:val="-10"/>
      <w:sz w:val="64"/>
      <w:lang w:eastAsia="en-GB"/>
    </w:rPr>
  </w:style>
  <w:style w:type="character" w:customStyle="1" w:styleId="Heading2Char">
    <w:name w:val="Heading 2 Char"/>
    <w:link w:val="Heading2"/>
    <w:rsid w:val="004374D1"/>
    <w:rPr>
      <w:rFonts w:ascii="Montserrat" w:hAnsi="Montserrat"/>
      <w:b/>
      <w:color w:val="2C463B"/>
      <w:spacing w:val="-5"/>
      <w:sz w:val="48"/>
      <w:lang w:eastAsia="en-GB"/>
    </w:rPr>
  </w:style>
  <w:style w:type="character" w:customStyle="1" w:styleId="Heading3Char">
    <w:name w:val="Heading 3 Char"/>
    <w:link w:val="Heading3"/>
    <w:uiPriority w:val="1"/>
    <w:rsid w:val="005718A6"/>
    <w:rPr>
      <w:rFonts w:ascii="Montserrat" w:hAnsi="Montserrat"/>
      <w:color w:val="2C463B"/>
      <w:spacing w:val="-5"/>
      <w:sz w:val="36"/>
      <w:lang w:eastAsia="en-GB"/>
    </w:rPr>
  </w:style>
  <w:style w:type="character" w:customStyle="1" w:styleId="Heading4Char">
    <w:name w:val="Heading 4 Char"/>
    <w:link w:val="Heading4"/>
    <w:rsid w:val="004374D1"/>
    <w:rPr>
      <w:rFonts w:ascii="Montserrat" w:hAnsi="Montserrat"/>
      <w:sz w:val="28"/>
      <w:lang w:eastAsia="en-GB"/>
    </w:rPr>
  </w:style>
  <w:style w:type="character" w:customStyle="1" w:styleId="Heading5Char">
    <w:name w:val="Heading 5 Char"/>
    <w:link w:val="Heading5"/>
    <w:rsid w:val="004374D1"/>
    <w:rPr>
      <w:rFonts w:ascii="Montserrat" w:hAnsi="Montserrat"/>
      <w:color w:val="2C463B"/>
      <w:sz w:val="24"/>
      <w:lang w:eastAsia="en-GB"/>
    </w:rPr>
  </w:style>
  <w:style w:type="character" w:customStyle="1" w:styleId="Heading6Char">
    <w:name w:val="Heading 6 Char"/>
    <w:basedOn w:val="DefaultParagraphFont"/>
    <w:link w:val="Heading6"/>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Fira Sans" w:hAnsi="Fira Sans"/>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285080"/>
    <w:pPr>
      <w:spacing w:after="60" w:line="240" w:lineRule="auto"/>
      <w:ind w:left="284" w:hanging="284"/>
    </w:pPr>
    <w:rPr>
      <w:sz w:val="17"/>
    </w:rPr>
  </w:style>
  <w:style w:type="character" w:customStyle="1" w:styleId="FootnoteTextChar">
    <w:name w:val="Footnote Text Char"/>
    <w:link w:val="FootnoteText"/>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4805C8"/>
    <w:pPr>
      <w:numPr>
        <w:numId w:val="4"/>
      </w:numPr>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043D21"/>
    <w:pPr>
      <w:numPr>
        <w:numId w:val="15"/>
      </w:numPr>
      <w:spacing w:after="180"/>
      <w:ind w:left="567" w:hanging="567"/>
    </w:pPr>
  </w:style>
  <w:style w:type="paragraph" w:customStyle="1" w:styleId="TableDash">
    <w:name w:val="TableDash"/>
    <w:basedOn w:val="TableText"/>
    <w:qFormat/>
    <w:rsid w:val="004805C8"/>
    <w:pPr>
      <w:numPr>
        <w:numId w:val="3"/>
      </w:numPr>
      <w:spacing w:before="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5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D41CC"/>
    <w:pPr>
      <w:spacing w:after="200"/>
    </w:pPr>
    <w:rPr>
      <w:b/>
      <w:bCs/>
      <w:color w:val="4F81BD" w:themeColor="accent1"/>
      <w:sz w:val="18"/>
      <w:szCs w:val="18"/>
    </w:rPr>
  </w:style>
  <w:style w:type="paragraph" w:styleId="EndnoteText">
    <w:name w:val="endnote text"/>
    <w:basedOn w:val="Normal"/>
    <w:link w:val="EndnoteTextChar"/>
    <w:semiHidden/>
    <w:unhideWhenUsed/>
    <w:rsid w:val="00C000B2"/>
    <w:pPr>
      <w:spacing w:before="90" w:line="240" w:lineRule="auto"/>
      <w:ind w:left="284" w:hanging="284"/>
    </w:pPr>
    <w:rPr>
      <w:sz w:val="18"/>
    </w:rPr>
  </w:style>
  <w:style w:type="character" w:customStyle="1" w:styleId="EndnoteTextChar">
    <w:name w:val="Endnote Text Char"/>
    <w:basedOn w:val="DefaultParagraphFont"/>
    <w:link w:val="EndnoteText"/>
    <w:semiHidden/>
    <w:rsid w:val="00C000B2"/>
    <w:rPr>
      <w:rFonts w:ascii="Fira Sans" w:hAnsi="Fira Sans"/>
      <w:sz w:val="18"/>
      <w:lang w:eastAsia="en-GB"/>
    </w:rPr>
  </w:style>
  <w:style w:type="character" w:styleId="EndnoteReference">
    <w:name w:val="endnote reference"/>
    <w:basedOn w:val="DefaultParagraphFont"/>
    <w:semiHidden/>
    <w:unhideWhenUsed/>
    <w:rsid w:val="00C000B2"/>
    <w:rPr>
      <w:vertAlign w:val="superscript"/>
    </w:rPr>
  </w:style>
  <w:style w:type="paragraph" w:styleId="ListParagraph">
    <w:name w:val="List Paragraph"/>
    <w:basedOn w:val="Normal"/>
    <w:uiPriority w:val="1"/>
    <w:qFormat/>
    <w:rsid w:val="00D65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co.iarc.fr/causes/alcohol/home" TargetMode="External"/><Relationship Id="rId21" Type="http://schemas.openxmlformats.org/officeDocument/2006/relationships/header" Target="header4.xml"/><Relationship Id="rId42" Type="http://schemas.openxmlformats.org/officeDocument/2006/relationships/image" Target="media/image23.png"/><Relationship Id="rId63" Type="http://schemas.openxmlformats.org/officeDocument/2006/relationships/hyperlink" Target="https://www.sunsmart.org.nz/learn-more/sunsmart-councils-and-workplaces" TargetMode="External"/><Relationship Id="rId84" Type="http://schemas.openxmlformats.org/officeDocument/2006/relationships/hyperlink" Target="http://www.iffs.se/media/1326/20080109110739filmZ8UVQv2wQFShMRF6cuT.pdf" TargetMode="External"/><Relationship Id="rId138" Type="http://schemas.openxmlformats.org/officeDocument/2006/relationships/hyperlink" Target="https://bpac.org.nz/2018/alcohol.aspx" TargetMode="External"/><Relationship Id="rId159" Type="http://schemas.openxmlformats.org/officeDocument/2006/relationships/hyperlink" Target="https://sportnz.org.nz/media/3639/active-nz-year-3-main-report-final.pdf" TargetMode="External"/><Relationship Id="rId170" Type="http://schemas.openxmlformats.org/officeDocument/2006/relationships/hyperlink" Target="https://sportnz.org.nz/resources/growth-of-waka-ama/" TargetMode="External"/><Relationship Id="rId191" Type="http://schemas.openxmlformats.org/officeDocument/2006/relationships/hyperlink" Target="https://ppr.qed.qld.gov.au/attachment/Sun-safety-in-state-school-procedure.pdf" TargetMode="External"/><Relationship Id="rId205" Type="http://schemas.openxmlformats.org/officeDocument/2006/relationships/hyperlink" Target="https://www.consumer.org.nz/articles/sunbeds" TargetMode="External"/><Relationship Id="rId226" Type="http://schemas.openxmlformats.org/officeDocument/2006/relationships/hyperlink" Target="https://www.worksafe.govt.nz/topic-and-industry/health-and-hygiene/germs-and-infections/" TargetMode="External"/><Relationship Id="rId107" Type="http://schemas.openxmlformats.org/officeDocument/2006/relationships/hyperlink" Target="https://www.pncc.govt.nz/council-city/official-documents/policies/auahi-kore-smokefree-and-vapefree-policy/" TargetMode="External"/><Relationship Id="rId11" Type="http://schemas.openxmlformats.org/officeDocument/2006/relationships/image" Target="media/image4.png"/><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2.png"/><Relationship Id="rId128" Type="http://schemas.openxmlformats.org/officeDocument/2006/relationships/hyperlink" Target="https://www.who.int/initiatives/SAFER" TargetMode="External"/><Relationship Id="rId149" Type="http://schemas.openxmlformats.org/officeDocument/2006/relationships/hyperlink" Target="https://www.obesityevidencehub.org.au/collections/prevention/countries-that-have-implemented-taxes-on-sugar-sweetened-beverages-ssbs" TargetMode="External"/><Relationship Id="rId5" Type="http://schemas.openxmlformats.org/officeDocument/2006/relationships/webSettings" Target="webSettings.xml"/><Relationship Id="rId95" Type="http://schemas.openxmlformats.org/officeDocument/2006/relationships/hyperlink" Target="https://tcdata.org.nz/Misc%20data/Misc_01.html" TargetMode="External"/><Relationship Id="rId160" Type="http://schemas.openxmlformats.org/officeDocument/2006/relationships/hyperlink" Target="https://sportnz.org.nz/media/1289/determinants-of-physical-activity-in-young-people.pdf" TargetMode="External"/><Relationship Id="rId181" Type="http://schemas.openxmlformats.org/officeDocument/2006/relationships/hyperlink" Target="https://kupe.hpa.org.nz/" TargetMode="External"/><Relationship Id="rId216" Type="http://schemas.openxmlformats.org/officeDocument/2006/relationships/hyperlink" Target="http://www.who.int/news-room/fact-sheets/detail/hiv-aids" TargetMode="External"/><Relationship Id="rId237" Type="http://schemas.openxmlformats.org/officeDocument/2006/relationships/hyperlink" Target="https://www.hepatitisfoundation.org.nz/healthcare-professionals/hepatitis-b-health-professionals" TargetMode="External"/><Relationship Id="rId22" Type="http://schemas.openxmlformats.org/officeDocument/2006/relationships/header" Target="header5.xml"/><Relationship Id="rId43" Type="http://schemas.openxmlformats.org/officeDocument/2006/relationships/image" Target="media/image24.png"/><Relationship Id="rId64" Type="http://schemas.openxmlformats.org/officeDocument/2006/relationships/hyperlink" Target="http://www.wellplace.nz" TargetMode="External"/><Relationship Id="rId118" Type="http://schemas.openxmlformats.org/officeDocument/2006/relationships/hyperlink" Target="http://ghdx.healthdata.org/gbd-results-tool?params=gbd-api-2019-permalink/b16c0de6ade500aab013457335003363" TargetMode="External"/><Relationship Id="rId139" Type="http://schemas.openxmlformats.org/officeDocument/2006/relationships/hyperlink" Target="https://www.wcrf.org/sites/default/files/Summary-of-Third-Expert-Report-2018.pdf" TargetMode="External"/><Relationship Id="rId85" Type="http://schemas.openxmlformats.org/officeDocument/2006/relationships/hyperlink" Target="https://public-health.uq.edu.au/files/571/ACE-Prevention_final_report.pdf" TargetMode="External"/><Relationship Id="rId150" Type="http://schemas.openxmlformats.org/officeDocument/2006/relationships/hyperlink" Target="http://www.5aday.co.nz/media/213674/final-fruit-vegetables-in-schools-research-report-august-2018.pdf" TargetMode="External"/><Relationship Id="rId171" Type="http://schemas.openxmlformats.org/officeDocument/2006/relationships/hyperlink" Target="https://assets.publishing.service.gov.uk/government/uploads/system/uploads/attachment_data/file/769486/Making_Every_Contact_Count_Consensus_Statement.pdf" TargetMode="External"/><Relationship Id="rId192" Type="http://schemas.openxmlformats.org/officeDocument/2006/relationships/hyperlink" Target="https://www.thecommunityguide.org/findings/skin-cancer-primary-and-middle-school-based-interventions" TargetMode="External"/><Relationship Id="rId206" Type="http://schemas.openxmlformats.org/officeDocument/2006/relationships/hyperlink" Target="https://www.immune.org.nz/diseases/human-papillomavirus-hpv" TargetMode="External"/><Relationship Id="rId227" Type="http://schemas.openxmlformats.org/officeDocument/2006/relationships/hyperlink" Target="https://www.podiatristsboard.org.nz/Portals/0/Uploads/TMVI%20-%20HRANZ%20guidelines.pdf" TargetMode="External"/><Relationship Id="rId201" Type="http://schemas.openxmlformats.org/officeDocument/2006/relationships/hyperlink" Target="https://www.parliament.nz/en/pb/bills-and-laws/bills-proposed-laws/document/BILL_109343/tab/submissionsandadvice" TargetMode="External"/><Relationship Id="rId222" Type="http://schemas.openxmlformats.org/officeDocument/2006/relationships/hyperlink" Target="https://surv.esr.cri.nz/PDF_surveillance/AnnualRpt/AnnualSurv/2018/2018AnnualNDReport_FINAL.pdf" TargetMode="External"/><Relationship Id="rId243"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hyperlink" Target="https://blogs.otago.ac.nz/pubhealthexpert/phasing-out-smoking-the-tobacco-free-generation-policy/" TargetMode="External"/><Relationship Id="rId108" Type="http://schemas.openxmlformats.org/officeDocument/2006/relationships/hyperlink" Target="https://www.ccc.govt.nz/the-council/plans-strategies-policies-and-bylaws/policies/health-policies/smokefree-public-places-policy/" TargetMode="External"/><Relationship Id="rId124" Type="http://schemas.openxmlformats.org/officeDocument/2006/relationships/hyperlink" Target="https://kupe.hpa.org.nz/" TargetMode="External"/><Relationship Id="rId129" Type="http://schemas.openxmlformats.org/officeDocument/2006/relationships/hyperlink" Target="https://apps.who.int/iris/bitstream/handle/10665/259232/WHO-NMH-NVI-17.9-eng.pdf?sequence=1&amp;isAllowed=y" TargetMode="External"/><Relationship Id="rId54" Type="http://schemas.openxmlformats.org/officeDocument/2006/relationships/image" Target="media/image35.png"/><Relationship Id="rId70" Type="http://schemas.openxmlformats.org/officeDocument/2006/relationships/image" Target="media/image48.png"/><Relationship Id="rId75" Type="http://schemas.openxmlformats.org/officeDocument/2006/relationships/hyperlink" Target="https://apps.who.int/iris/handle/10665/330745" TargetMode="External"/><Relationship Id="rId91" Type="http://schemas.openxmlformats.org/officeDocument/2006/relationships/hyperlink" Target="https://tcdata.org.nz/TobaccoSectorOverview.html" TargetMode="External"/><Relationship Id="rId96" Type="http://schemas.openxmlformats.org/officeDocument/2006/relationships/hyperlink" Target="https://aspire2025.org.nz/" TargetMode="External"/><Relationship Id="rId140" Type="http://schemas.openxmlformats.org/officeDocument/2006/relationships/hyperlink" Target="http://www.healthdata.org/results/gbd_summaries/2019/dietary-risks-level-2-risk" TargetMode="External"/><Relationship Id="rId145" Type="http://schemas.openxmlformats.org/officeDocument/2006/relationships/hyperlink" Target="https://www.gov.uk/government/news/new-public-consultation-on-total-ban-of-online-advertising-for-unhealthy-foods" TargetMode="External"/><Relationship Id="rId161" Type="http://schemas.openxmlformats.org/officeDocument/2006/relationships/hyperlink" Target="https://www.safeworkaustralia.gov.au/system/files/documents/1702/literature-review-of-the-hazards-of-sedentary-work.pdf" TargetMode="External"/><Relationship Id="rId166" Type="http://schemas.openxmlformats.org/officeDocument/2006/relationships/hyperlink" Target="https://www.transport.govt.nz/assets/Uploads/Paper/GPS2021.pdf" TargetMode="External"/><Relationship Id="rId182" Type="http://schemas.openxmlformats.org/officeDocument/2006/relationships/hyperlink" Target="https://www.cancer.org.nz/cancer/reducing-your-cancer-risk/sunsmart/" TargetMode="External"/><Relationship Id="rId187" Type="http://schemas.openxmlformats.org/officeDocument/2006/relationships/hyperlink" Target="https://www.napier.govt.nz/assets/Document-Library/Policies/Shade-Policy.pdf" TargetMode="External"/><Relationship Id="rId217" Type="http://schemas.openxmlformats.org/officeDocument/2006/relationships/hyperlink" Target="https://apps.who.int/iris/handle/10665/246177"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stats.govt.nz/news/almost-1-in-9-people-live-in-a-crowded-house" TargetMode="External"/><Relationship Id="rId233" Type="http://schemas.openxmlformats.org/officeDocument/2006/relationships/hyperlink" Target="https://www.nzaf.org.nz/awareness-and-prevention/prevention/post-exposure-prophylaxis-pep/" TargetMode="External"/><Relationship Id="rId238" Type="http://schemas.openxmlformats.org/officeDocument/2006/relationships/hyperlink" Target="https://bpac.org.nz/BPJ/2009/December/docs/bpj25_hiv_pages28-35.pdf" TargetMode="External"/><Relationship Id="rId23" Type="http://schemas.openxmlformats.org/officeDocument/2006/relationships/footer" Target="footer6.xm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hyperlink" Target="https://www.hpa.org.nz/campaign/quitstrong" TargetMode="External"/><Relationship Id="rId119" Type="http://schemas.openxmlformats.org/officeDocument/2006/relationships/hyperlink" Target="https://www.hpa.org.nz/sites/default/files/documents/AlcoholNZ_June_2013_LR_spreads.pdf" TargetMode="External"/><Relationship Id="rId44" Type="http://schemas.openxmlformats.org/officeDocument/2006/relationships/image" Target="media/image25.png"/><Relationship Id="rId60" Type="http://schemas.openxmlformats.org/officeDocument/2006/relationships/image" Target="media/image40.png"/><Relationship Id="rId65" Type="http://schemas.openxmlformats.org/officeDocument/2006/relationships/image" Target="media/image43.png"/><Relationship Id="rId81" Type="http://schemas.openxmlformats.org/officeDocument/2006/relationships/hyperlink" Target="http://ghdx.healthdata.org/gbd-results-%20tool?params=gbd-api-2019-permalink/2bf916c6c5fc6390404cc2bedf64add9" TargetMode="External"/><Relationship Id="rId86" Type="http://schemas.openxmlformats.org/officeDocument/2006/relationships/hyperlink" Target="https://teaho.govt.nz/reports/cancer-state" TargetMode="External"/><Relationship Id="rId130" Type="http://schemas.openxmlformats.org/officeDocument/2006/relationships/hyperlink" Target="https://www.ahw.org.nz/Portals/5/Resources/Documents-other/2020/Road_map_for_alcohol_pricing_policies-Final_version_Aug_6_2020.pdf" TargetMode="External"/><Relationship Id="rId135" Type="http://schemas.openxmlformats.org/officeDocument/2006/relationships/hyperlink" Target="https://apps.who.int/iris/bitstream/handle/10665/274603/9789241565639-eng.pdf" TargetMode="External"/><Relationship Id="rId151" Type="http://schemas.openxmlformats.org/officeDocument/2006/relationships/hyperlink" Target="https://figshare.com/articles/journal_contribution/School-FERST_-_Preliminary_results_for_primary_schools/5673469" TargetMode="External"/><Relationship Id="rId156" Type="http://schemas.openxmlformats.org/officeDocument/2006/relationships/hyperlink" Target="https://www.ncbi.nlm.nih.gov/pmc/articles/PMC7837499/pdf/pone.0245225.pdf" TargetMode="External"/><Relationship Id="rId177" Type="http://schemas.openxmlformats.org/officeDocument/2006/relationships/hyperlink" Target="http://www.sunsmart.org.nz/" TargetMode="External"/><Relationship Id="rId198" Type="http://schemas.openxmlformats.org/officeDocument/2006/relationships/hyperlink" Target="https://www.cph.co.nz/wp-content/uploads/ecesunprotectionsurveyreport.pdf" TargetMode="External"/><Relationship Id="rId172" Type="http://schemas.openxmlformats.org/officeDocument/2006/relationships/hyperlink" Target="https://www.health.govt.nz/publication/selected-cancers-2015-2016-2017" TargetMode="External"/><Relationship Id="rId193" Type="http://schemas.openxmlformats.org/officeDocument/2006/relationships/hyperlink" Target="https://www.education.govt.nz/school/%20property-and-transport/projects-and-design/design/design-standards/shade-structures/" TargetMode="External"/><Relationship Id="rId202" Type="http://schemas.openxmlformats.org/officeDocument/2006/relationships/hyperlink" Target="https://www.health.govt.nz/publication/therapeutic-products-regulatory-scheme-consultation" TargetMode="External"/><Relationship Id="rId207" Type="http://schemas.openxmlformats.org/officeDocument/2006/relationships/hyperlink" Target="https://bpac.org.nz/2018/hepb.aspx" TargetMode="External"/><Relationship Id="rId223" Type="http://schemas.openxmlformats.org/officeDocument/2006/relationships/hyperlink" Target="https://www.nzblood.co.nz/assets/Transfusion-Medicine/PDFs/111G122.pdf" TargetMode="External"/><Relationship Id="rId228" Type="http://schemas.openxmlformats.org/officeDocument/2006/relationships/hyperlink" Target="http://iportal.huttcity.govt.nz/Record/ReadOnly?Tab=3&amp;Uri=5441466" TargetMode="External"/><Relationship Id="rId13" Type="http://schemas.openxmlformats.org/officeDocument/2006/relationships/hyperlink" Target="http://www.teaho.govt.nz" TargetMode="External"/><Relationship Id="rId18" Type="http://schemas.openxmlformats.org/officeDocument/2006/relationships/header" Target="header3.xml"/><Relationship Id="rId39" Type="http://schemas.openxmlformats.org/officeDocument/2006/relationships/image" Target="media/image20.png"/><Relationship Id="rId109" Type="http://schemas.openxmlformats.org/officeDocument/2006/relationships/hyperlink" Target="https://wellington.govt.nz/~/media/your-council/plans-policies-and-bylaws/plans-and-policies/a-to-z/smokefree-wellington-action-plan/smokefree-wellington-action-plan-web.pdf"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www.health.govt.nz/publication/new-%20cancer-registrations-2018" TargetMode="External"/><Relationship Id="rId97" Type="http://schemas.openxmlformats.org/officeDocument/2006/relationships/hyperlink" Target="https://www.tobaccoinaustralia.org.au/chapter-11-advertising/11-9-retail-promotion-and-access" TargetMode="External"/><Relationship Id="rId104" Type="http://schemas.openxmlformats.org/officeDocument/2006/relationships/hyperlink" Target="https://www.who.int/ncds/publications/Balanga-Case-Study-final.pdf" TargetMode="External"/><Relationship Id="rId120" Type="http://schemas.openxmlformats.org/officeDocument/2006/relationships/hyperlink" Target="https://www.who.int/data/gho/data/indicators/indicator-details/GHO/total-(recorded-unrecorded)-alcohol-per-capita-(15-)-consumption" TargetMode="External"/><Relationship Id="rId125" Type="http://schemas.openxmlformats.org/officeDocument/2006/relationships/hyperlink" Target="https://www.lawcom.govt.nz/sites/default/files/projectAvailableFormats/NZLC%20R114.pdf" TargetMode="External"/><Relationship Id="rId141" Type="http://schemas.openxmlformats.org/officeDocument/2006/relationships/hyperlink" Target="https://data.oecd.org/healthrisk/overweight-or-obese-population.htm" TargetMode="External"/><Relationship Id="rId146" Type="http://schemas.openxmlformats.org/officeDocument/2006/relationships/hyperlink" Target="https://www.asa.co.nz/codes/codes/children-and-young-people/" TargetMode="External"/><Relationship Id="rId167" Type="http://schemas.openxmlformats.org/officeDocument/2006/relationships/hyperlink" Target="https://www.nzta.govt.nz/assets/resources/keeping-cities-moving/Keeping-cities-moving.pdf" TargetMode="External"/><Relationship Id="rId188" Type="http://schemas.openxmlformats.org/officeDocument/2006/relationships/hyperlink" Target="http://www.pncc.govt.nz/media/3131377/sun_protection_policy_2010.pdf"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www.health.govt.nz/publication/tier-1-statistics-2019-20-new-zealand-health-survey" TargetMode="External"/><Relationship Id="rId162" Type="http://schemas.openxmlformats.org/officeDocument/2006/relationships/hyperlink" Target="https://apps.who.int/iris/bitstream/handle/10665/272722/9789241514187-eng.pdf?ua=1" TargetMode="External"/><Relationship Id="rId183" Type="http://schemas.openxmlformats.org/officeDocument/2006/relationships/hyperlink" Target="https://www.arpansa.gov.au/understanding-radiation/radiation-sources/more-radiation-sources/sun-protection-shade" TargetMode="External"/><Relationship Id="rId213" Type="http://schemas.openxmlformats.org/officeDocument/2006/relationships/hyperlink" Target="https://bpac.org.nz/2019/hepc/testing.aspx" TargetMode="External"/><Relationship Id="rId218" Type="http://schemas.openxmlformats.org/officeDocument/2006/relationships/hyperlink" Target="https://www.nsu.govt.nz/health-professionals/national-cervical-screening-programme/hpv-primary-screening" TargetMode="External"/><Relationship Id="rId234" Type="http://schemas.openxmlformats.org/officeDocument/2006/relationships/hyperlink" Target="http://apps.who.int/iris/bitstream/handle/10665/154590/9789241549059_eng.pdf?sequence=1" TargetMode="External"/><Relationship Id="rId239" Type="http://schemas.openxmlformats.org/officeDocument/2006/relationships/hyperlink" Target="https://www.nzaf.org.nz/awareness-and-prevention/getting-tested/all-about-testing/"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7.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hyperlink" Target="https://gco.iarc.fr/tomorrow/en" TargetMode="External"/><Relationship Id="rId110" Type="http://schemas.openxmlformats.org/officeDocument/2006/relationships/hyperlink" Target="https://www.cdc.gov/tobacco/data_statistics/fact_sheets/youth_data/movies/index.htm" TargetMode="External"/><Relationship Id="rId115" Type="http://schemas.openxmlformats.org/officeDocument/2006/relationships/hyperlink" Target="https://d3n8a8pro7vhmx.cloudfront.net/ashnz/pages/41/attachments/original/1504152901/TOBACCO-RETURNS-ANALYSIS-2013.pdf?1504152901" TargetMode="External"/><Relationship Id="rId131" Type="http://schemas.openxmlformats.org/officeDocument/2006/relationships/hyperlink" Target="http://www.hpa.org.nz/research-library" TargetMode="External"/><Relationship Id="rId136" Type="http://schemas.openxmlformats.org/officeDocument/2006/relationships/hyperlink" Target="https://apps.who.int/iris/bitstream/handle/10665/336178/WHO-EURO-2020-1266-41016-55678-eng.pdf?sequence=1&amp;isAllowed=y" TargetMode="External"/><Relationship Id="rId157" Type="http://schemas.openxmlformats.org/officeDocument/2006/relationships/hyperlink" Target="https://www.wcrf.org/sites/default/files/Physical-activity.pdf" TargetMode="External"/><Relationship Id="rId178" Type="http://schemas.openxmlformats.org/officeDocument/2006/relationships/hyperlink" Target="http://www.sunsmart.org.nz/" TargetMode="External"/><Relationship Id="rId61" Type="http://schemas.openxmlformats.org/officeDocument/2006/relationships/image" Target="media/image41.png"/><Relationship Id="rId82" Type="http://schemas.openxmlformats.org/officeDocument/2006/relationships/hyperlink" Target="https://www.health.govt.nz/system/files/documents/publications/longer-healthier-lives-new-zealands-health-1990-2017.pdf" TargetMode="External"/><Relationship Id="rId152" Type="http://schemas.openxmlformats.org/officeDocument/2006/relationships/hyperlink" Target="https://www.education.govt.nz/our-work/changes-in-education/healthy-active-learning/" TargetMode="External"/><Relationship Id="rId173" Type="http://schemas.openxmlformats.org/officeDocument/2006/relationships/hyperlink" Target="https://www.sunsmart.org.nz/sites/default/files/documents/FINAL-Strategy-2017-to-2022.PDF" TargetMode="External"/><Relationship Id="rId194" Type="http://schemas.openxmlformats.org/officeDocument/2006/relationships/hyperlink" Target="https://www.cancer.org.nz/about-us/find-a-cancer-society-office-near-you/national-office/annual-reports-2/" TargetMode="External"/><Relationship Id="rId199" Type="http://schemas.openxmlformats.org/officeDocument/2006/relationships/hyperlink" Target="http://www.assc.org.au/wp-content/uploads/2018/03/K-Bray-Choice-Sunscreen-Summit-%20presentation-unverified.pdf" TargetMode="External"/><Relationship Id="rId203" Type="http://schemas.openxmlformats.org/officeDocument/2006/relationships/hyperlink" Target="https://www.medsafe.govt.nz/regulatory/Guideline/GRTPNZ/overview-of-therapeutic-product-regulation.pdf" TargetMode="External"/><Relationship Id="rId208" Type="http://schemas.openxmlformats.org/officeDocument/2006/relationships/hyperlink" Target="https://bpac.org.nz/2019/hepc/docs/hepc.pdf" TargetMode="External"/><Relationship Id="rId229" Type="http://schemas.openxmlformats.org/officeDocument/2006/relationships/hyperlink" Target="https://www.beautynz.org.nz/files/3216/0046/5302/Health_and_Hygiene_Vol_2_0._2020.09.pdf" TargetMode="External"/><Relationship Id="rId19" Type="http://schemas.openxmlformats.org/officeDocument/2006/relationships/footer" Target="footer4.xml"/><Relationship Id="rId224" Type="http://schemas.openxmlformats.org/officeDocument/2006/relationships/hyperlink" Target="https://www.nzblood.co.nz/assets/Transfusion-Medicine/Blood-Issues/Blood-Issues-Newsletter-April-2016.pdf" TargetMode="External"/><Relationship Id="rId240" Type="http://schemas.openxmlformats.org/officeDocument/2006/relationships/footer" Target="footer9.xml"/><Relationship Id="rId14" Type="http://schemas.openxmlformats.org/officeDocument/2006/relationships/image" Target="media/image6.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hyperlink" Target="https://www.stats.govt.nz/reports/measuring-inequality-for-disabled-new-zealanders-2018" TargetMode="External"/><Relationship Id="rId100" Type="http://schemas.openxmlformats.org/officeDocument/2006/relationships/hyperlink" Target="https://blogs.otago.ac.nz/pubhealthexpert/the-case-for-banning-cigarette-filters-addressing-a-consumer-fraud-smoking-decoy-and-environmental-hazard/" TargetMode="External"/><Relationship Id="rId105" Type="http://schemas.openxmlformats.org/officeDocument/2006/relationships/hyperlink" Target="https://blogs.otago.ac.nz/pubhealthexpert/smokefree-outdoor-areas-a-missing-part-of-governments-new-smokefree-2025-proposals/" TargetMode="External"/><Relationship Id="rId126" Type="http://schemas.openxmlformats.org/officeDocument/2006/relationships/hyperlink" Target="https://www.health.govt.nz/publication/ministerial-forum-alcohol-advertising" TargetMode="External"/><Relationship Id="rId147" Type="http://schemas.openxmlformats.org/officeDocument/2006/relationships/hyperlink" Target="https://apps.who.int/iris/bitstream/handle/10665/250131/9789241511247-eng.pdf;jsessionid=8D83E6DD03C1634251363798AFD9B045?sequence=1" TargetMode="External"/><Relationship Id="rId168" Type="http://schemas.openxmlformats.org/officeDocument/2006/relationships/hyperlink" Target="https://www.nzta.govt.nz/walking-cycling-and-public-transport/keeping-cities-moving/" TargetMode="External"/><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hyperlink" Target="https://blogs.otago.ac.nz/pubhealthexpert/what-does-the-2019-20-nz-health-survey-tell-us-about-progress-towards-a-smokefree-aotearoa/" TargetMode="External"/><Relationship Id="rId98" Type="http://schemas.openxmlformats.org/officeDocument/2006/relationships/hyperlink" Target="https://tobaccocontrol.bmj.com/content/29/3/247" TargetMode="External"/><Relationship Id="rId121" Type="http://schemas.openxmlformats.org/officeDocument/2006/relationships/hyperlink" Target="https://www.stats.govt.nz/information-releases/alcohol-available-for-consumption-year-ended-december-2019" TargetMode="External"/><Relationship Id="rId142" Type="http://schemas.openxmlformats.org/officeDocument/2006/relationships/hyperlink" Target="https://healthyaucklandtogether.org.nz/assets/Marketing-to-children/Evidence-Snapshot.pdf" TargetMode="External"/><Relationship Id="rId163" Type="http://schemas.openxmlformats.org/officeDocument/2006/relationships/hyperlink" Target="https://www.ispah.org/wp-content/uploads/2020/11/English-Eight-Investments-That-Work-FINAL.pdf" TargetMode="External"/><Relationship Id="rId184" Type="http://schemas.openxmlformats.org/officeDocument/2006/relationships/hyperlink" Target="http://www.sunsmart.com.au/advice-for/local-government" TargetMode="External"/><Relationship Id="rId189" Type="http://schemas.openxmlformats.org/officeDocument/2006/relationships/hyperlink" Target="https://www.sunsmart.org.nz/learn-more/sunsmart-councils-and-workplaces" TargetMode="External"/><Relationship Id="rId219" Type="http://schemas.openxmlformats.org/officeDocument/2006/relationships/hyperlink" Target="https://www.who.int/news-room/events/detail/2020/11/17/default-calendar/launch-of-the-global-strategy-to-accelerate-the-elimination-of-cervical-cancer" TargetMode="External"/><Relationship Id="rId3" Type="http://schemas.openxmlformats.org/officeDocument/2006/relationships/styles" Target="styles.xml"/><Relationship Id="rId214" Type="http://schemas.openxmlformats.org/officeDocument/2006/relationships/hyperlink" Target="https://www.hepatitisfoundation.org.nz/hepatitis/hepatitis-b" TargetMode="External"/><Relationship Id="rId230" Type="http://schemas.openxmlformats.org/officeDocument/2006/relationships/hyperlink" Target="https://www.acon.org.au/wp-content/uploads/2015/04/Evaluating-the-cost-effectiveness-of-NSP-in-Australia-2009.pdf" TargetMode="External"/><Relationship Id="rId235" Type="http://schemas.openxmlformats.org/officeDocument/2006/relationships/hyperlink" Target="https://www.health.govt.nz/your-health/pregnancy-and-kids/services-and-support-during-pregnancy/pregnancy-screening-tests/blood-tests-pregnancy/hiv-testing-pregnancy" TargetMode="External"/><Relationship Id="rId25" Type="http://schemas.openxmlformats.org/officeDocument/2006/relationships/footer" Target="footer8.xml"/><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hyperlink" Target="https://www.wcrf.org/diet-and-cancer/" TargetMode="External"/><Relationship Id="rId137" Type="http://schemas.openxmlformats.org/officeDocument/2006/relationships/hyperlink" Target="http://www.asa.co.nz/wp-content/uploads/2019/10/CODE-FOR-ADVERTISING-AND-PROMOTION-OF-ALCOHOL.pdf" TargetMode="External"/><Relationship Id="rId158" Type="http://schemas.openxmlformats.org/officeDocument/2006/relationships/hyperlink" Target="https://sportnz.org.nz/media/1294/spotlight-on-deprivation-key-findings2.pdf" TargetMode="External"/><Relationship Id="rId20" Type="http://schemas.openxmlformats.org/officeDocument/2006/relationships/footer" Target="footer5.xml"/><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hyperlink" Target="https://www.systemreview.health.govt.nz/%20interim-report" TargetMode="External"/><Relationship Id="rId88" Type="http://schemas.openxmlformats.org/officeDocument/2006/relationships/hyperlink" Target="http://ghdx.healthdata.org/gbd-results-tool?params=gbd-api-2019-permalink/2bf916c6c5fc6390404cc2bedf64add9" TargetMode="External"/><Relationship Id="rId111" Type="http://schemas.openxmlformats.org/officeDocument/2006/relationships/hyperlink" Target="https://www.cdc.gov/mmwr/volumes/68/wr/mm6843a4.htm?s_cid=mm6843a4_w" TargetMode="External"/><Relationship Id="rId132" Type="http://schemas.openxmlformats.org/officeDocument/2006/relationships/hyperlink" Target="https://www.hpa.org.nz/sites/default/files/New%20Zealanders%20alcohol%20consumption%20across%20the%20lifespan%20September%202018.pdf" TargetMode="External"/><Relationship Id="rId153" Type="http://schemas.openxmlformats.org/officeDocument/2006/relationships/hyperlink" Target="https://www.healthyaucklandtogether.org.nz/assets/Uploads/HAT-actionplan.pdf" TargetMode="External"/><Relationship Id="rId174" Type="http://schemas.openxmlformats.org/officeDocument/2006/relationships/hyperlink" Target="https://www.otago.ac.nz/sbru/otago687389.pdf" TargetMode="External"/><Relationship Id="rId179" Type="http://schemas.openxmlformats.org/officeDocument/2006/relationships/hyperlink" Target="https://kupe.hpa.org.nz/" TargetMode="External"/><Relationship Id="rId195" Type="http://schemas.openxmlformats.org/officeDocument/2006/relationships/hyperlink" Target="https://www.thecommunityguide.org/findings/skin-cancer-interventions-outdoor-occupational-settings" TargetMode="External"/><Relationship Id="rId209" Type="http://schemas.openxmlformats.org/officeDocument/2006/relationships/hyperlink" Target="https://bpac.org.nz/BT/2014/May/docs/BT23-h-pylori.pdf" TargetMode="External"/><Relationship Id="rId190" Type="http://schemas.openxmlformats.org/officeDocument/2006/relationships/hyperlink" Target="https://www.cancer.org.nz/cancer/reducing-your-cancer-risk/sunsmart/sunsmart-communities-schools-and-workplaces/" TargetMode="External"/><Relationship Id="rId204" Type="http://schemas.openxmlformats.org/officeDocument/2006/relationships/hyperlink" Target="https://www.consumer.org.nz/articles/why-sunscreens-should-be-regulated/full-test-results" TargetMode="External"/><Relationship Id="rId220" Type="http://schemas.openxmlformats.org/officeDocument/2006/relationships/hyperlink" Target="https://apps.who.int/iris/bitstream/handle/10665/276001/9789241550376-eng.pdf" TargetMode="External"/><Relationship Id="rId225" Type="http://schemas.openxmlformats.org/officeDocument/2006/relationships/hyperlink" Target="https://www.nzblood.co.nz/assets/Transfusion-Medicine/Blood-Issues/Blood-Issues-Newsletter-November-2017.pdf" TargetMode="External"/><Relationship Id="rId241" Type="http://schemas.openxmlformats.org/officeDocument/2006/relationships/footer" Target="footer10.xml"/><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hyperlink" Target="https://www.aucklandcouncil.govt.nz/plans-projects-policies-reports-bylaws/our-policies/Pages/smokefree-policy.aspx" TargetMode="External"/><Relationship Id="rId127" Type="http://schemas.openxmlformats.org/officeDocument/2006/relationships/hyperlink" Target="https://www.ahw.org.nz/Portals/5/Resources/Briefing%20papers/2021/Evidence-based%20alcohol%20policies-Alcohol%20Healthwatch%20Nov%202020.pdf" TargetMode="External"/><Relationship Id="rId10" Type="http://schemas.openxmlformats.org/officeDocument/2006/relationships/image" Target="media/image3.png"/><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1.png"/><Relationship Id="rId78" Type="http://schemas.openxmlformats.org/officeDocument/2006/relationships/hyperlink" Target="https://www.cancer.gov/about-cancer/%20causes-prevention/risk/infectious-agents/hiv-fact-sheet" TargetMode="External"/><Relationship Id="rId94" Type="http://schemas.openxmlformats.org/officeDocument/2006/relationships/hyperlink" Target="https://minhealthnz.shinyapps.io/nz-health-survey-2019-20-annual-data-explorer/" TargetMode="External"/><Relationship Id="rId99" Type="http://schemas.openxmlformats.org/officeDocument/2006/relationships/hyperlink" Target="https://blogs.otago.ac.nz/pubhealthexpert/five-strategic-approaches-to-achieving-the-smokefree-aotearoa-2025-goal/" TargetMode="External"/><Relationship Id="rId101" Type="http://schemas.openxmlformats.org/officeDocument/2006/relationships/hyperlink" Target="https://blogs.otago.ac.nz/pubhealthexpert/reducing-nicotine-in-smoked-tobacco-products-a-pivotal-feature-of-the-proposals-for-achieving-smokefree-aotearoa-2025/" TargetMode="External"/><Relationship Id="rId122" Type="http://schemas.openxmlformats.org/officeDocument/2006/relationships/hyperlink" Target="https://www.stats.govt.nz/information-releases/alcohol-available-for-consumption-year-ended-december-2020" TargetMode="External"/><Relationship Id="rId143" Type="http://schemas.openxmlformats.org/officeDocument/2006/relationships/hyperlink" Target="https://www.unicef.org/csr/files/A_Child_Rights-Based_Approach_to_Food_Marketing_Report.pdf" TargetMode="External"/><Relationship Id="rId148" Type="http://schemas.openxmlformats.org/officeDocument/2006/relationships/hyperlink" Target="https://www.euro.who.int/data/assets/pdf_file/0004/287095/Good-practice-brief-public-health-product-tax-in-hungary.pdf" TargetMode="External"/><Relationship Id="rId164" Type="http://schemas.openxmlformats.org/officeDocument/2006/relationships/hyperlink" Target="https://www.sport.nsw.gov.au/sites/default/files/2021-04/towards_best_practice_kd9_final.pdf" TargetMode="External"/><Relationship Id="rId169" Type="http://schemas.openxmlformats.org/officeDocument/2006/relationships/hyperlink" Target="https://wellplace.nz/assets/Uploads/%20Resource-files/Move-more-resources/A-guide-to-sitting-less-and-moving-more-in-your-workplace-WEB.pdf" TargetMode="External"/><Relationship Id="rId185" Type="http://schemas.openxmlformats.org/officeDocument/2006/relationships/hyperlink" Target="https://www.health.vic.gov.au/preventive-health/shade-grants-program"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hpa.org.nz/sites/default/files/Outdoor%20Socialisers%20SunSmart%20Behaviours.pdf" TargetMode="External"/><Relationship Id="rId210" Type="http://schemas.openxmlformats.org/officeDocument/2006/relationships/hyperlink" Target="https://www.health.govt.nz/our-work/preventative-health-wellness/sexual-and-reproductive-health" TargetMode="External"/><Relationship Id="rId215" Type="http://schemas.openxmlformats.org/officeDocument/2006/relationships/hyperlink" Target="http://www.otago.ac.nz/aidsepigroup/otago827752.pdf" TargetMode="External"/><Relationship Id="rId236" Type="http://schemas.openxmlformats.org/officeDocument/2006/relationships/hyperlink" Target="https://www.health.govt.nz/your-health/conditions-and-treatments/diseases-and-illnesses/hiv-aids/pregnancy-and-breastfeeding-hiv" TargetMode="External"/><Relationship Id="rId26" Type="http://schemas.openxmlformats.org/officeDocument/2006/relationships/image" Target="media/image7.png"/><Relationship Id="rId231" Type="http://schemas.openxmlformats.org/officeDocument/2006/relationships/hyperlink" Target="http://www.nznep.org.nz/about-us" TargetMode="External"/><Relationship Id="rId47" Type="http://schemas.openxmlformats.org/officeDocument/2006/relationships/image" Target="media/image28.png"/><Relationship Id="rId68" Type="http://schemas.openxmlformats.org/officeDocument/2006/relationships/image" Target="media/image46.png"/><Relationship Id="rId89" Type="http://schemas.openxmlformats.org/officeDocument/2006/relationships/hyperlink" Target="http://ghdx.healthdata.org/gbd-results-tool?params=gbd-api-2019-permalink/ba7e36a69e3c24ab21c8938845d6eecf" TargetMode="External"/><Relationship Id="rId112" Type="http://schemas.openxmlformats.org/officeDocument/2006/relationships/hyperlink" Target="https://www.hpa.org.nz/research-library/research-publications/susceptibility-to-smoking-among-14-and-15-year-olds" TargetMode="External"/><Relationship Id="rId133" Type="http://schemas.openxmlformats.org/officeDocument/2006/relationships/hyperlink" Target="http://www.ahw.org.nz/Portals/5/Resources/Documents-other/2017/LAPReport_2017_WEB_amended%2020_3_18.pdf" TargetMode="External"/><Relationship Id="rId154" Type="http://schemas.openxmlformats.org/officeDocument/2006/relationships/hyperlink" Target="https://www.nzdoctor.co.nz/sites/default/files/2019-08/State%20of%20the%20Food%20Supply%202019%20report.pdf" TargetMode="External"/><Relationship Id="rId175" Type="http://schemas.openxmlformats.org/officeDocument/2006/relationships/hyperlink" Target="https://niwa.co.nz/our-services/online-services/uv-ozone" TargetMode="External"/><Relationship Id="rId196" Type="http://schemas.openxmlformats.org/officeDocument/2006/relationships/hyperlink" Target="https://www.safeworkaustralia.gov.au/system/files/documents/2001/guide-exposure-solar-ultraviolet-radiation_1.pdf" TargetMode="External"/><Relationship Id="rId200" Type="http://schemas.openxmlformats.org/officeDocument/2006/relationships/hyperlink" Target="http://www.pbs.gov.au/info/about-the-pbs" TargetMode="External"/><Relationship Id="rId16" Type="http://schemas.openxmlformats.org/officeDocument/2006/relationships/footer" Target="footer3.xml"/><Relationship Id="rId221" Type="http://schemas.openxmlformats.org/officeDocument/2006/relationships/hyperlink" Target="http://www.nzchildren.co.nz/" TargetMode="External"/><Relationship Id="rId242" Type="http://schemas.openxmlformats.org/officeDocument/2006/relationships/fontTable" Target="fontTable.xml"/><Relationship Id="rId37" Type="http://schemas.openxmlformats.org/officeDocument/2006/relationships/image" Target="media/image18.png"/><Relationship Id="rId58" Type="http://schemas.openxmlformats.org/officeDocument/2006/relationships/hyperlink" Target="http://www.wellplace.nz" TargetMode="External"/><Relationship Id="rId79" Type="http://schemas.openxmlformats.org/officeDocument/2006/relationships/hyperlink" Target="https://www.health.govt.nz/publication/unequal-impact-ii-maori-and-non-maori-cancer-statistics-deprivation-and-rural-%20urban-status-2002-2006" TargetMode="External"/><Relationship Id="rId102" Type="http://schemas.openxmlformats.org/officeDocument/2006/relationships/hyperlink" Target="https://www.federalregister.gov/documents/2018/03/16/2018-05345/tobacco-product-standard-for-nicotine-level-of-combusted-cigarettes" TargetMode="External"/><Relationship Id="rId123" Type="http://schemas.openxmlformats.org/officeDocument/2006/relationships/hyperlink" Target="http://www.alcohol.org.nz/help-advice/advice-on-alcohol/low-risk-alcohol-drinking-advice" TargetMode="External"/><Relationship Id="rId144" Type="http://schemas.openxmlformats.org/officeDocument/2006/relationships/hyperlink" Target="https://www.gov.uk/government/consultations/total-restriction-of-online-advertising-for-products-high-in-fat-sugar-and-salt-hfss/introducing-a-total-online-advertising-restriction-for-products-high-in-fat-sugar-and-salt-hfss" TargetMode="External"/><Relationship Id="rId90" Type="http://schemas.openxmlformats.org/officeDocument/2006/relationships/hyperlink" Target="%20http://publications.iarc.fr/586" TargetMode="External"/><Relationship Id="rId165" Type="http://schemas.openxmlformats.org/officeDocument/2006/relationships/hyperlink" Target="https://ana.org.nz/wp-content/uploads/2016/10/Literature-Review-Local-Govt-and-Physical-Activity-Final.pdf" TargetMode="External"/><Relationship Id="rId186" Type="http://schemas.openxmlformats.org/officeDocument/2006/relationships/hyperlink" Target="https://www.hpa.org.nz/research-library/research-publications/public-opinion-on-councils%E2%80%99-role-to-provide-shade-in-public-places-in-fact" TargetMode="External"/><Relationship Id="rId211" Type="http://schemas.openxmlformats.org/officeDocument/2006/relationships/hyperlink" Target="https://www.stats.govt.nz/information-releases/child-poverty-statistics-year-ended-june-2020" TargetMode="External"/><Relationship Id="rId232" Type="http://schemas.openxmlformats.org/officeDocument/2006/relationships/hyperlink" Target="http://www.ncbi.nlm.nih.gov/books/NBK562734/" TargetMode="External"/><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47.png"/><Relationship Id="rId113" Type="http://schemas.openxmlformats.org/officeDocument/2006/relationships/hyperlink" Target="http://www.smokefree.org.nz/smokefree-environments/smokefree-in-your-community" TargetMode="External"/><Relationship Id="rId134" Type="http://schemas.openxmlformats.org/officeDocument/2006/relationships/hyperlink" Target="https://www.parliament.nz/resource/en-NZ/PAP_92971/d73ab2acc835b7dee35797f8eab3a1685972c4a0" TargetMode="External"/><Relationship Id="rId80" Type="http://schemas.openxmlformats.org/officeDocument/2006/relationships/hyperlink" Target="https://publications.iarc.fr/Book-And-Report-Series/Iarc-Scientific-Publications/Reducing-Social-Inequalities-In-%20Cancer-Evidence-And-Priorities-For-Research-2019" TargetMode="External"/><Relationship Id="rId155" Type="http://schemas.openxmlformats.org/officeDocument/2006/relationships/hyperlink" Target="https://researchbriefings.files.parliament.uk/documents/POST-PN-0638/POST-PN-0638.pdf" TargetMode="External"/><Relationship Id="rId176" Type="http://schemas.openxmlformats.org/officeDocument/2006/relationships/hyperlink" Target="https://niwa.co.nz/sites/niwa.co.nz/files/sites/default/files/import/attachments/Web_plots.pdf" TargetMode="External"/><Relationship Id="rId197" Type="http://schemas.openxmlformats.org/officeDocument/2006/relationships/hyperlink" Target="https://worksafe.govt.nz/laws-and-regulations/acts/hsw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eaho.govt.nz"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health.govt.nz/our-work/preventative-health-wellness/healthy-homes-initiative" TargetMode="External"/><Relationship Id="rId1" Type="http://schemas.openxmlformats.org/officeDocument/2006/relationships/hyperlink" Target="http://www.informa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154E9-AF35-45BA-B3EF-2043BD7C7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131</Pages>
  <Words>44632</Words>
  <Characters>254408</Characters>
  <Application>Microsoft Office Word</Application>
  <DocSecurity>0</DocSecurity>
  <Lines>2120</Lines>
  <Paragraphs>596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Prevention Report</dc:title>
  <dc:creator>Te Aho o Te Kahu</dc:creator>
  <cp:lastModifiedBy>Rachel Dyer-Bare</cp:lastModifiedBy>
  <cp:revision>2</cp:revision>
  <cp:lastPrinted>2015-11-17T05:02:00Z</cp:lastPrinted>
  <dcterms:created xsi:type="dcterms:W3CDTF">2022-04-06T21:27:00Z</dcterms:created>
  <dcterms:modified xsi:type="dcterms:W3CDTF">2022-04-06T21:27:00Z</dcterms:modified>
</cp:coreProperties>
</file>