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AC1368" w14:paraId="3193C18A" w14:textId="77777777" w:rsidTr="00AC1368">
        <w:tc>
          <w:tcPr>
            <w:tcW w:w="0" w:type="auto"/>
            <w:shd w:val="clear" w:color="auto" w:fill="FFFFFF"/>
            <w:vAlign w:val="center"/>
          </w:tcPr>
          <w:tbl>
            <w:tblPr>
              <w:tblW w:w="0" w:type="auto"/>
              <w:jc w:val="center"/>
              <w:tblCellMar>
                <w:left w:w="0" w:type="dxa"/>
                <w:right w:w="0" w:type="dxa"/>
              </w:tblCellMar>
              <w:tblLook w:val="04A0" w:firstRow="1" w:lastRow="0" w:firstColumn="1" w:lastColumn="0" w:noHBand="0" w:noVBand="1"/>
            </w:tblPr>
            <w:tblGrid>
              <w:gridCol w:w="20"/>
              <w:gridCol w:w="6608"/>
              <w:gridCol w:w="2392"/>
              <w:gridCol w:w="6"/>
            </w:tblGrid>
            <w:tr w:rsidR="00AC1368" w14:paraId="191E9E8A" w14:textId="77777777" w:rsidTr="00AC1368">
              <w:trPr>
                <w:gridAfter w:val="2"/>
                <w:wAfter w:w="2398" w:type="dxa"/>
                <w:jc w:val="center"/>
              </w:trPr>
              <w:tc>
                <w:tcPr>
                  <w:tcW w:w="20" w:type="dxa"/>
                  <w:tcMar>
                    <w:top w:w="0" w:type="dxa"/>
                    <w:left w:w="0" w:type="dxa"/>
                    <w:bottom w:w="120" w:type="dxa"/>
                    <w:right w:w="0" w:type="dxa"/>
                  </w:tcMar>
                  <w:hideMark/>
                </w:tcPr>
                <w:p w14:paraId="309DE498" w14:textId="77777777" w:rsidR="00AC1368" w:rsidRDefault="00AC1368" w:rsidP="00AC1368">
                  <w:pPr>
                    <w:jc w:val="center"/>
                  </w:pPr>
                </w:p>
              </w:tc>
              <w:tc>
                <w:tcPr>
                  <w:tcW w:w="6608" w:type="dxa"/>
                  <w:tcMar>
                    <w:top w:w="0" w:type="dxa"/>
                    <w:left w:w="0" w:type="dxa"/>
                    <w:bottom w:w="120" w:type="dxa"/>
                    <w:right w:w="0" w:type="dxa"/>
                  </w:tcMar>
                  <w:hideMark/>
                </w:tcPr>
                <w:p w14:paraId="34576DDE" w14:textId="77777777" w:rsidR="00AC1368" w:rsidRDefault="00AC1368" w:rsidP="00AC1368">
                  <w:pPr>
                    <w:pStyle w:val="NormalWeb"/>
                    <w:spacing w:before="0" w:beforeAutospacing="0" w:after="0" w:afterAutospacing="0" w:line="285" w:lineRule="atLeast"/>
                    <w:jc w:val="center"/>
                    <w:rPr>
                      <w:color w:val="363F48"/>
                      <w:sz w:val="18"/>
                      <w:szCs w:val="18"/>
                    </w:rPr>
                  </w:pPr>
                </w:p>
              </w:tc>
            </w:tr>
            <w:tr w:rsidR="00AC1368" w14:paraId="2215296E" w14:textId="77777777" w:rsidTr="00AC1368">
              <w:trPr>
                <w:gridAfter w:val="2"/>
                <w:wAfter w:w="2398" w:type="dxa"/>
                <w:jc w:val="center"/>
              </w:trPr>
              <w:tc>
                <w:tcPr>
                  <w:tcW w:w="6628" w:type="dxa"/>
                  <w:gridSpan w:val="2"/>
                  <w:vAlign w:val="center"/>
                  <w:hideMark/>
                </w:tcPr>
                <w:p w14:paraId="46B4D326" w14:textId="77777777" w:rsidR="00AC1368" w:rsidRDefault="00AC1368" w:rsidP="00AC1368">
                  <w:pPr>
                    <w:spacing w:line="480" w:lineRule="atLeast"/>
                    <w:rPr>
                      <w:rFonts w:ascii="Arial" w:eastAsia="Times New Roman" w:hAnsi="Arial" w:cs="Arial"/>
                      <w:color w:val="41637E"/>
                      <w:sz w:val="39"/>
                      <w:szCs w:val="39"/>
                    </w:rPr>
                  </w:pPr>
                  <w:r>
                    <w:rPr>
                      <w:rFonts w:ascii="Arial" w:eastAsia="Times New Roman" w:hAnsi="Arial" w:cs="Arial"/>
                      <w:noProof/>
                      <w:color w:val="41637E"/>
                      <w:sz w:val="39"/>
                      <w:szCs w:val="39"/>
                    </w:rPr>
                    <w:drawing>
                      <wp:inline distT="0" distB="0" distL="0" distR="0" wp14:anchorId="4A590455" wp14:editId="540817C1">
                        <wp:extent cx="2057400" cy="876300"/>
                        <wp:effectExtent l="0" t="0" r="0" b="0"/>
                        <wp:docPr id="7" name="Picture 7" descr="Te Aho o Te Kahu logo - central thread of a cloa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 Aho o Te Kahu logo - central thread of a cloa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876300"/>
                                </a:xfrm>
                                <a:prstGeom prst="rect">
                                  <a:avLst/>
                                </a:prstGeom>
                                <a:noFill/>
                                <a:ln>
                                  <a:noFill/>
                                </a:ln>
                              </pic:spPr>
                            </pic:pic>
                          </a:graphicData>
                        </a:graphic>
                      </wp:inline>
                    </w:drawing>
                  </w:r>
                </w:p>
              </w:tc>
            </w:tr>
            <w:tr w:rsidR="00AC1368" w14:paraId="4ACE8515" w14:textId="77777777" w:rsidTr="00AC1368">
              <w:trPr>
                <w:jc w:val="center"/>
              </w:trPr>
              <w:tc>
                <w:tcPr>
                  <w:tcW w:w="20" w:type="dxa"/>
                  <w:shd w:val="clear" w:color="auto" w:fill="FFFFFF"/>
                  <w:vAlign w:val="center"/>
                  <w:hideMark/>
                </w:tcPr>
                <w:p w14:paraId="20E32586" w14:textId="77777777" w:rsidR="00AC1368" w:rsidRDefault="00AC1368" w:rsidP="00AC1368">
                  <w:pPr>
                    <w:jc w:val="center"/>
                    <w:rPr>
                      <w:rFonts w:eastAsia="Times New Roman"/>
                      <w:sz w:val="2"/>
                      <w:szCs w:val="2"/>
                    </w:rPr>
                  </w:pPr>
                </w:p>
              </w:tc>
              <w:tc>
                <w:tcPr>
                  <w:tcW w:w="9000" w:type="dxa"/>
                  <w:gridSpan w:val="2"/>
                  <w:shd w:val="clear" w:color="auto" w:fill="FFFFFF"/>
                  <w:vAlign w:val="center"/>
                  <w:hideMark/>
                </w:tcPr>
                <w:p w14:paraId="452340E0" w14:textId="77777777" w:rsidR="00AC1368" w:rsidRDefault="00AC1368" w:rsidP="00AC1368">
                  <w:pPr>
                    <w:spacing w:line="465" w:lineRule="exact"/>
                    <w:jc w:val="center"/>
                    <w:textAlignment w:val="center"/>
                    <w:outlineLvl w:val="1"/>
                    <w:rPr>
                      <w:rFonts w:ascii="Montserrat" w:eastAsia="Times New Roman" w:hAnsi="Montserrat"/>
                      <w:color w:val="363F48"/>
                      <w:kern w:val="36"/>
                      <w:position w:val="17"/>
                      <w:sz w:val="33"/>
                      <w:szCs w:val="33"/>
                    </w:rPr>
                  </w:pPr>
                </w:p>
                <w:p w14:paraId="747C97E1" w14:textId="77777777" w:rsidR="00AC1368" w:rsidRDefault="00AC1368" w:rsidP="00AC1368">
                  <w:pPr>
                    <w:spacing w:line="465" w:lineRule="exact"/>
                    <w:jc w:val="center"/>
                    <w:textAlignment w:val="center"/>
                    <w:outlineLvl w:val="1"/>
                    <w:rPr>
                      <w:rFonts w:ascii="Montserrat" w:eastAsia="Times New Roman" w:hAnsi="Montserrat"/>
                      <w:color w:val="363F48"/>
                      <w:kern w:val="36"/>
                      <w:position w:val="17"/>
                      <w:sz w:val="33"/>
                      <w:szCs w:val="33"/>
                    </w:rPr>
                  </w:pPr>
                </w:p>
                <w:p w14:paraId="6ADB9004" w14:textId="77777777" w:rsidR="00AC1368" w:rsidRDefault="00AC1368" w:rsidP="00AC1368">
                  <w:pPr>
                    <w:spacing w:line="465" w:lineRule="exact"/>
                    <w:textAlignment w:val="center"/>
                    <w:outlineLvl w:val="1"/>
                    <w:rPr>
                      <w:rFonts w:ascii="Montserrat" w:eastAsia="Times New Roman" w:hAnsi="Montserrat"/>
                      <w:color w:val="363F48"/>
                      <w:kern w:val="36"/>
                      <w:position w:val="17"/>
                      <w:sz w:val="33"/>
                      <w:szCs w:val="33"/>
                    </w:rPr>
                  </w:pPr>
                  <w:proofErr w:type="spellStart"/>
                  <w:r>
                    <w:rPr>
                      <w:rFonts w:ascii="Montserrat" w:eastAsia="Times New Roman" w:hAnsi="Montserrat"/>
                      <w:color w:val="363F48"/>
                      <w:kern w:val="36"/>
                      <w:position w:val="17"/>
                      <w:sz w:val="33"/>
                      <w:szCs w:val="33"/>
                    </w:rPr>
                    <w:t>Tēnā</w:t>
                  </w:r>
                  <w:proofErr w:type="spellEnd"/>
                  <w:r>
                    <w:rPr>
                      <w:rFonts w:ascii="Montserrat" w:eastAsia="Times New Roman" w:hAnsi="Montserrat"/>
                      <w:color w:val="363F48"/>
                      <w:kern w:val="36"/>
                      <w:position w:val="17"/>
                      <w:sz w:val="33"/>
                      <w:szCs w:val="33"/>
                    </w:rPr>
                    <w:t xml:space="preserve"> koutou </w:t>
                  </w:r>
                  <w:proofErr w:type="spellStart"/>
                  <w:r>
                    <w:rPr>
                      <w:rFonts w:ascii="Montserrat" w:eastAsia="Times New Roman" w:hAnsi="Montserrat"/>
                      <w:color w:val="363F48"/>
                      <w:kern w:val="36"/>
                      <w:position w:val="17"/>
                      <w:sz w:val="33"/>
                      <w:szCs w:val="33"/>
                    </w:rPr>
                    <w:t>katoa</w:t>
                  </w:r>
                  <w:proofErr w:type="spellEnd"/>
                </w:p>
                <w:p w14:paraId="0430DE45" w14:textId="77777777" w:rsidR="00AC1368" w:rsidRDefault="00AC1368" w:rsidP="00AC1368">
                  <w:pPr>
                    <w:pStyle w:val="NormalWeb"/>
                    <w:spacing w:before="300" w:beforeAutospacing="0" w:after="0" w:afterAutospacing="0" w:line="360" w:lineRule="atLeast"/>
                    <w:textAlignment w:val="center"/>
                    <w:rPr>
                      <w:rFonts w:ascii="Montserrat" w:hAnsi="Montserrat"/>
                      <w:color w:val="363F48"/>
                      <w:position w:val="17"/>
                      <w:sz w:val="24"/>
                      <w:szCs w:val="24"/>
                    </w:rPr>
                  </w:pPr>
                  <w:r>
                    <w:rPr>
                      <w:rStyle w:val="font-montserrat"/>
                      <w:rFonts w:ascii="Montserrat" w:hAnsi="Montserrat"/>
                      <w:color w:val="363F48"/>
                      <w:position w:val="17"/>
                      <w:sz w:val="24"/>
                      <w:szCs w:val="24"/>
                    </w:rPr>
                    <w:t xml:space="preserve">The recent appearance of </w:t>
                  </w:r>
                  <w:proofErr w:type="spellStart"/>
                  <w:r>
                    <w:rPr>
                      <w:rStyle w:val="font-montserrat"/>
                      <w:rFonts w:ascii="Montserrat" w:hAnsi="Montserrat"/>
                      <w:color w:val="363F48"/>
                      <w:position w:val="17"/>
                      <w:sz w:val="24"/>
                      <w:szCs w:val="24"/>
                    </w:rPr>
                    <w:t>Matariki</w:t>
                  </w:r>
                  <w:proofErr w:type="spellEnd"/>
                  <w:r>
                    <w:rPr>
                      <w:rStyle w:val="font-montserrat"/>
                      <w:rFonts w:ascii="Montserrat" w:hAnsi="Montserrat"/>
                      <w:color w:val="363F48"/>
                      <w:position w:val="17"/>
                      <w:sz w:val="24"/>
                      <w:szCs w:val="24"/>
                    </w:rPr>
                    <w:t xml:space="preserve"> in the night sky marks a time for reflection and an opportunity to articulate our aspirations for the future.</w:t>
                  </w:r>
                </w:p>
                <w:p w14:paraId="61CBB76F" w14:textId="77777777" w:rsidR="00AC1368" w:rsidRDefault="00AC1368" w:rsidP="00AC1368">
                  <w:pPr>
                    <w:pStyle w:val="NormalWeb"/>
                    <w:spacing w:before="300" w:beforeAutospacing="0" w:after="0" w:afterAutospacing="0" w:line="360" w:lineRule="atLeast"/>
                    <w:textAlignment w:val="center"/>
                    <w:rPr>
                      <w:rFonts w:ascii="Montserrat" w:hAnsi="Montserrat"/>
                      <w:color w:val="363F48"/>
                      <w:position w:val="17"/>
                      <w:sz w:val="24"/>
                      <w:szCs w:val="24"/>
                    </w:rPr>
                  </w:pPr>
                  <w:r>
                    <w:rPr>
                      <w:rStyle w:val="font-montserrat"/>
                      <w:rFonts w:ascii="Montserrat" w:hAnsi="Montserrat"/>
                      <w:color w:val="363F48"/>
                      <w:position w:val="17"/>
                      <w:sz w:val="24"/>
                      <w:szCs w:val="24"/>
                    </w:rPr>
                    <w:t>It is fitting therefore, that this update looks back at our engagement over the last few months and looks forward to the work we are doing to ensure excellence in cancer care is woven into the design of the new health and disability system.</w:t>
                  </w:r>
                </w:p>
                <w:p w14:paraId="5F490A45" w14:textId="77777777" w:rsidR="00AC1368" w:rsidRDefault="00AC1368" w:rsidP="00AC1368">
                  <w:pPr>
                    <w:pStyle w:val="NormalWeb"/>
                    <w:spacing w:before="300" w:beforeAutospacing="0" w:after="0" w:afterAutospacing="0" w:line="360" w:lineRule="atLeast"/>
                    <w:textAlignment w:val="center"/>
                    <w:rPr>
                      <w:rFonts w:ascii="Montserrat" w:hAnsi="Montserrat"/>
                      <w:color w:val="363F48"/>
                      <w:position w:val="17"/>
                      <w:sz w:val="24"/>
                      <w:szCs w:val="24"/>
                    </w:rPr>
                  </w:pPr>
                  <w:proofErr w:type="spellStart"/>
                  <w:r>
                    <w:rPr>
                      <w:rStyle w:val="font-montserrat"/>
                      <w:rFonts w:ascii="Montserrat" w:hAnsi="Montserrat"/>
                      <w:color w:val="363F48"/>
                      <w:position w:val="17"/>
                      <w:sz w:val="24"/>
                      <w:szCs w:val="24"/>
                    </w:rPr>
                    <w:t>Ngā</w:t>
                  </w:r>
                  <w:proofErr w:type="spellEnd"/>
                  <w:r>
                    <w:rPr>
                      <w:rStyle w:val="font-montserrat"/>
                      <w:rFonts w:ascii="Montserrat" w:hAnsi="Montserrat"/>
                      <w:color w:val="363F48"/>
                      <w:position w:val="17"/>
                      <w:sz w:val="24"/>
                      <w:szCs w:val="24"/>
                    </w:rPr>
                    <w:t xml:space="preserve"> </w:t>
                  </w:r>
                  <w:proofErr w:type="spellStart"/>
                  <w:r>
                    <w:rPr>
                      <w:rStyle w:val="font-montserrat"/>
                      <w:rFonts w:ascii="Montserrat" w:hAnsi="Montserrat"/>
                      <w:color w:val="363F48"/>
                      <w:position w:val="17"/>
                      <w:sz w:val="24"/>
                      <w:szCs w:val="24"/>
                    </w:rPr>
                    <w:t>manaakitanga</w:t>
                  </w:r>
                  <w:proofErr w:type="spellEnd"/>
                </w:p>
                <w:p w14:paraId="101BD6F4" w14:textId="77777777" w:rsidR="00AC1368" w:rsidRDefault="00AC1368" w:rsidP="00AC1368">
                  <w:pPr>
                    <w:pStyle w:val="NormalWeb"/>
                    <w:spacing w:before="300" w:beforeAutospacing="0" w:after="300" w:afterAutospacing="0" w:line="360" w:lineRule="atLeast"/>
                    <w:textAlignment w:val="center"/>
                    <w:rPr>
                      <w:rFonts w:ascii="Montserrat" w:hAnsi="Montserrat"/>
                      <w:color w:val="363F48"/>
                      <w:position w:val="17"/>
                      <w:sz w:val="24"/>
                      <w:szCs w:val="24"/>
                    </w:rPr>
                  </w:pPr>
                  <w:r>
                    <w:rPr>
                      <w:rStyle w:val="font-montserrat"/>
                      <w:rFonts w:ascii="Montserrat" w:hAnsi="Montserrat"/>
                      <w:color w:val="363F48"/>
                      <w:position w:val="17"/>
                      <w:sz w:val="24"/>
                      <w:szCs w:val="24"/>
                    </w:rPr>
                    <w:t>Di</w:t>
                  </w:r>
                </w:p>
                <w:p w14:paraId="171218F9" w14:textId="77777777" w:rsidR="00AC1368" w:rsidRDefault="00AC1368" w:rsidP="00AC1368">
                  <w:pPr>
                    <w:spacing w:line="600" w:lineRule="exact"/>
                    <w:jc w:val="center"/>
                    <w:rPr>
                      <w:rFonts w:eastAsia="Times New Roman"/>
                      <w:color w:val="363F48"/>
                      <w:sz w:val="2"/>
                      <w:szCs w:val="2"/>
                    </w:rPr>
                  </w:pPr>
                </w:p>
              </w:tc>
              <w:tc>
                <w:tcPr>
                  <w:tcW w:w="0" w:type="auto"/>
                  <w:shd w:val="clear" w:color="auto" w:fill="FFFFFF"/>
                  <w:vAlign w:val="center"/>
                  <w:hideMark/>
                </w:tcPr>
                <w:p w14:paraId="2C54C321" w14:textId="77777777" w:rsidR="00AC1368" w:rsidRDefault="00AC1368" w:rsidP="00AC1368">
                  <w:pPr>
                    <w:jc w:val="center"/>
                    <w:rPr>
                      <w:rFonts w:eastAsia="Times New Roman"/>
                      <w:sz w:val="2"/>
                      <w:szCs w:val="2"/>
                    </w:rPr>
                  </w:pPr>
                </w:p>
              </w:tc>
            </w:tr>
          </w:tbl>
          <w:p w14:paraId="6FD44407" w14:textId="77777777" w:rsidR="00AC1368" w:rsidRDefault="00AC1368" w:rsidP="00AC1368">
            <w:pPr>
              <w:shd w:val="clear" w:color="auto" w:fill="C2D9BA"/>
              <w:jc w:val="center"/>
              <w:rPr>
                <w:rFonts w:eastAsia="Times New Roman"/>
                <w:vanish/>
              </w:rPr>
            </w:pPr>
          </w:p>
          <w:tbl>
            <w:tblPr>
              <w:tblW w:w="5000" w:type="pct"/>
              <w:tblCellMar>
                <w:left w:w="0" w:type="dxa"/>
                <w:right w:w="0" w:type="dxa"/>
              </w:tblCellMar>
              <w:tblLook w:val="04A0" w:firstRow="1" w:lastRow="0" w:firstColumn="1" w:lastColumn="0" w:noHBand="0" w:noVBand="1"/>
            </w:tblPr>
            <w:tblGrid>
              <w:gridCol w:w="13"/>
              <w:gridCol w:w="3000"/>
              <w:gridCol w:w="6000"/>
              <w:gridCol w:w="13"/>
            </w:tblGrid>
            <w:tr w:rsidR="00AC1368" w14:paraId="0CD47BB6" w14:textId="77777777">
              <w:tc>
                <w:tcPr>
                  <w:tcW w:w="0" w:type="auto"/>
                  <w:shd w:val="clear" w:color="auto" w:fill="C2D9BA"/>
                  <w:vAlign w:val="center"/>
                  <w:hideMark/>
                </w:tcPr>
                <w:p w14:paraId="3D42B2BC" w14:textId="77777777" w:rsidR="00AC1368" w:rsidRDefault="00AC1368" w:rsidP="00AC1368">
                  <w:pPr>
                    <w:rPr>
                      <w:rFonts w:eastAsia="Times New Roman"/>
                      <w:sz w:val="2"/>
                      <w:szCs w:val="2"/>
                    </w:rPr>
                  </w:pPr>
                </w:p>
              </w:tc>
              <w:tc>
                <w:tcPr>
                  <w:tcW w:w="3000" w:type="dxa"/>
                  <w:shd w:val="clear" w:color="auto" w:fill="C2D9BA"/>
                  <w:hideMark/>
                </w:tcPr>
                <w:p w14:paraId="42CFA93E" w14:textId="77777777" w:rsidR="00AC1368" w:rsidRDefault="00AC1368" w:rsidP="00AC1368">
                  <w:pPr>
                    <w:spacing w:line="600" w:lineRule="exact"/>
                    <w:rPr>
                      <w:rFonts w:eastAsia="Times New Roman"/>
                      <w:color w:val="363F48"/>
                      <w:sz w:val="2"/>
                      <w:szCs w:val="2"/>
                    </w:rPr>
                  </w:pPr>
                </w:p>
                <w:p w14:paraId="339C8C49" w14:textId="77777777" w:rsidR="00AC1368" w:rsidRDefault="00AC1368" w:rsidP="00AC1368">
                  <w:pPr>
                    <w:spacing w:line="285" w:lineRule="atLeast"/>
                    <w:rPr>
                      <w:rFonts w:eastAsia="Times New Roman"/>
                      <w:color w:val="363F48"/>
                      <w:sz w:val="18"/>
                      <w:szCs w:val="18"/>
                    </w:rPr>
                  </w:pPr>
                  <w:r>
                    <w:rPr>
                      <w:rFonts w:eastAsia="Times New Roman"/>
                      <w:noProof/>
                      <w:color w:val="363F48"/>
                      <w:sz w:val="18"/>
                      <w:szCs w:val="18"/>
                    </w:rPr>
                    <w:drawing>
                      <wp:inline distT="0" distB="0" distL="0" distR="0" wp14:anchorId="15D93C92" wp14:editId="49F558DF">
                        <wp:extent cx="1651000" cy="1089660"/>
                        <wp:effectExtent l="0" t="0" r="6350" b="0"/>
                        <wp:docPr id="6" name="Picture 6" descr="Manager of Whanau-centred Care, Fletcher Beazley speaking at our h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ager of Whanau-centred Care, Fletcher Beazley speaking at our hu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4118" cy="1091718"/>
                                </a:xfrm>
                                <a:prstGeom prst="rect">
                                  <a:avLst/>
                                </a:prstGeom>
                                <a:noFill/>
                                <a:ln>
                                  <a:noFill/>
                                </a:ln>
                              </pic:spPr>
                            </pic:pic>
                          </a:graphicData>
                        </a:graphic>
                      </wp:inline>
                    </w:drawing>
                  </w:r>
                </w:p>
              </w:tc>
              <w:tc>
                <w:tcPr>
                  <w:tcW w:w="6000" w:type="dxa"/>
                  <w:shd w:val="clear" w:color="auto" w:fill="C2D9BA"/>
                  <w:hideMark/>
                </w:tcPr>
                <w:p w14:paraId="17BEA16B" w14:textId="77777777" w:rsidR="00AC1368" w:rsidRDefault="00AC1368" w:rsidP="00AC1368">
                  <w:pPr>
                    <w:spacing w:line="600" w:lineRule="exact"/>
                    <w:rPr>
                      <w:rFonts w:eastAsia="Times New Roman"/>
                      <w:color w:val="363F48"/>
                      <w:sz w:val="2"/>
                      <w:szCs w:val="2"/>
                    </w:rPr>
                  </w:pPr>
                </w:p>
                <w:p w14:paraId="074331A2" w14:textId="77777777" w:rsidR="00AC1368" w:rsidRDefault="00AC1368" w:rsidP="00AC1368">
                  <w:pPr>
                    <w:pStyle w:val="size-241"/>
                    <w:spacing w:before="0" w:beforeAutospacing="0" w:after="0" w:afterAutospacing="0" w:line="480" w:lineRule="exact"/>
                    <w:textAlignment w:val="center"/>
                    <w:rPr>
                      <w:rFonts w:ascii="Montserrat" w:hAnsi="Montserrat"/>
                      <w:color w:val="363F48"/>
                      <w:position w:val="17"/>
                    </w:rPr>
                  </w:pPr>
                  <w:r>
                    <w:rPr>
                      <w:rStyle w:val="Strong"/>
                      <w:rFonts w:ascii="Montserrat" w:hAnsi="Montserrat"/>
                      <w:color w:val="363F48"/>
                      <w:position w:val="17"/>
                    </w:rPr>
                    <w:t>Te Aho o Te Kahu Engagement</w:t>
                  </w:r>
                </w:p>
                <w:p w14:paraId="37D3CA53" w14:textId="77777777" w:rsidR="00AC1368" w:rsidRDefault="00AC1368" w:rsidP="00AC1368">
                  <w:pPr>
                    <w:pStyle w:val="NormalWeb"/>
                    <w:spacing w:before="300" w:beforeAutospacing="0" w:after="0" w:afterAutospacing="0" w:line="360" w:lineRule="atLeast"/>
                    <w:textAlignment w:val="center"/>
                    <w:rPr>
                      <w:color w:val="363F48"/>
                      <w:position w:val="17"/>
                      <w:sz w:val="24"/>
                      <w:szCs w:val="24"/>
                    </w:rPr>
                  </w:pPr>
                  <w:r>
                    <w:rPr>
                      <w:color w:val="363F48"/>
                      <w:position w:val="17"/>
                      <w:sz w:val="24"/>
                      <w:szCs w:val="24"/>
                    </w:rPr>
                    <w:t>Across the agency, we recognise the importance of connection. Since our last update in May:</w:t>
                  </w:r>
                </w:p>
                <w:p w14:paraId="5305AE03" w14:textId="77777777" w:rsidR="00AC1368" w:rsidRDefault="00AC1368" w:rsidP="00AC1368">
                  <w:pPr>
                    <w:pStyle w:val="NormalWeb"/>
                    <w:spacing w:before="300" w:beforeAutospacing="0" w:after="0" w:afterAutospacing="0" w:line="360" w:lineRule="atLeast"/>
                    <w:textAlignment w:val="center"/>
                    <w:rPr>
                      <w:color w:val="363F48"/>
                      <w:position w:val="17"/>
                      <w:sz w:val="24"/>
                      <w:szCs w:val="24"/>
                    </w:rPr>
                  </w:pPr>
                  <w:r>
                    <w:rPr>
                      <w:color w:val="363F48"/>
                      <w:position w:val="17"/>
                      <w:sz w:val="24"/>
                      <w:szCs w:val="24"/>
                    </w:rPr>
                    <w:t>I have travelled around the motu to visit the dedicated people working across DHB cancer services. I have met with clinicians, allied staff and management at Northland, Waikato, Southern, Midcentral, Whanganui and Taranaki DHBs. These visits have proven very valuable to connect Te Aho o Te Kahu to the work being done ‘at the coalface’ and to bring into focus the challenges and opportunities existing in each region.</w:t>
                  </w:r>
                </w:p>
                <w:p w14:paraId="1BF19D75" w14:textId="77777777" w:rsidR="00AC1368" w:rsidRDefault="00AC1368" w:rsidP="00AC1368">
                  <w:pPr>
                    <w:pStyle w:val="NormalWeb"/>
                    <w:spacing w:before="300" w:beforeAutospacing="0" w:after="0" w:afterAutospacing="0" w:line="360" w:lineRule="atLeast"/>
                    <w:textAlignment w:val="center"/>
                    <w:rPr>
                      <w:color w:val="363F48"/>
                      <w:position w:val="17"/>
                      <w:sz w:val="24"/>
                      <w:szCs w:val="24"/>
                    </w:rPr>
                  </w:pPr>
                  <w:r>
                    <w:rPr>
                      <w:color w:val="363F48"/>
                      <w:position w:val="17"/>
                      <w:sz w:val="24"/>
                      <w:szCs w:val="24"/>
                    </w:rPr>
                    <w:t xml:space="preserve">In June, I met with the </w:t>
                  </w:r>
                  <w:hyperlink r:id="rId8" w:history="1">
                    <w:r>
                      <w:rPr>
                        <w:rStyle w:val="Hyperlink"/>
                        <w:color w:val="4C4DC3"/>
                        <w:position w:val="17"/>
                        <w:sz w:val="24"/>
                        <w:szCs w:val="24"/>
                      </w:rPr>
                      <w:t>Advisory Council of Te Aho o Te Kahu</w:t>
                    </w:r>
                  </w:hyperlink>
                  <w:r>
                    <w:rPr>
                      <w:color w:val="363F48"/>
                      <w:position w:val="17"/>
                      <w:sz w:val="24"/>
                      <w:szCs w:val="24"/>
                    </w:rPr>
                    <w:t xml:space="preserve">. Council members fed into our work on cancer services planning and our strategic communication priorities. They </w:t>
                  </w:r>
                  <w:r>
                    <w:rPr>
                      <w:color w:val="363F48"/>
                      <w:position w:val="17"/>
                      <w:sz w:val="24"/>
                      <w:szCs w:val="24"/>
                    </w:rPr>
                    <w:lastRenderedPageBreak/>
                    <w:t>were provided updates and gave feedback on projects across our work programme. I really appreciate the time put in by all Council members and Te Aho o Te Kahu staff that made this such a valuable session, thank you.</w:t>
                  </w:r>
                </w:p>
                <w:p w14:paraId="1F32485B" w14:textId="77777777" w:rsidR="00AC1368" w:rsidRDefault="00AC1368" w:rsidP="00AC1368">
                  <w:pPr>
                    <w:pStyle w:val="NormalWeb"/>
                    <w:spacing w:before="300" w:beforeAutospacing="0" w:after="0" w:afterAutospacing="0" w:line="360" w:lineRule="atLeast"/>
                    <w:textAlignment w:val="center"/>
                    <w:rPr>
                      <w:color w:val="363F48"/>
                      <w:position w:val="17"/>
                      <w:sz w:val="24"/>
                      <w:szCs w:val="24"/>
                    </w:rPr>
                  </w:pPr>
                  <w:r>
                    <w:rPr>
                      <w:color w:val="363F48"/>
                      <w:position w:val="17"/>
                      <w:sz w:val="24"/>
                      <w:szCs w:val="24"/>
                    </w:rPr>
                    <w:t xml:space="preserve">Our </w:t>
                  </w:r>
                  <w:hyperlink r:id="rId9" w:history="1">
                    <w:r>
                      <w:rPr>
                        <w:rStyle w:val="Hyperlink"/>
                        <w:color w:val="4C4DC3"/>
                        <w:position w:val="17"/>
                        <w:sz w:val="24"/>
                        <w:szCs w:val="24"/>
                      </w:rPr>
                      <w:t xml:space="preserve">consumer reference group, He Ara </w:t>
                    </w:r>
                    <w:proofErr w:type="spellStart"/>
                    <w:r>
                      <w:rPr>
                        <w:rStyle w:val="Hyperlink"/>
                        <w:color w:val="4C4DC3"/>
                        <w:position w:val="17"/>
                        <w:sz w:val="24"/>
                        <w:szCs w:val="24"/>
                      </w:rPr>
                      <w:t>Tāngata</w:t>
                    </w:r>
                    <w:proofErr w:type="spellEnd"/>
                  </w:hyperlink>
                  <w:r>
                    <w:rPr>
                      <w:color w:val="363F48"/>
                      <w:position w:val="17"/>
                      <w:sz w:val="24"/>
                      <w:szCs w:val="24"/>
                    </w:rPr>
                    <w:t xml:space="preserve">, met in May to finalise their Terms of Reference and to gain visibility across our work programme. Since </w:t>
                  </w:r>
                  <w:proofErr w:type="gramStart"/>
                  <w:r>
                    <w:rPr>
                      <w:color w:val="363F48"/>
                      <w:position w:val="17"/>
                      <w:sz w:val="24"/>
                      <w:szCs w:val="24"/>
                    </w:rPr>
                    <w:t>then</w:t>
                  </w:r>
                  <w:proofErr w:type="gramEnd"/>
                  <w:r>
                    <w:rPr>
                      <w:color w:val="363F48"/>
                      <w:position w:val="17"/>
                      <w:sz w:val="24"/>
                      <w:szCs w:val="24"/>
                    </w:rPr>
                    <w:t xml:space="preserve"> </w:t>
                  </w:r>
                  <w:hyperlink r:id="rId10" w:history="1">
                    <w:r>
                      <w:rPr>
                        <w:rStyle w:val="Hyperlink"/>
                        <w:color w:val="4C4DC3"/>
                        <w:position w:val="17"/>
                        <w:sz w:val="24"/>
                        <w:szCs w:val="24"/>
                      </w:rPr>
                      <w:t xml:space="preserve">He Ara </w:t>
                    </w:r>
                    <w:proofErr w:type="spellStart"/>
                    <w:r>
                      <w:rPr>
                        <w:rStyle w:val="Hyperlink"/>
                        <w:color w:val="4C4DC3"/>
                        <w:position w:val="17"/>
                        <w:sz w:val="24"/>
                        <w:szCs w:val="24"/>
                      </w:rPr>
                      <w:t>Tāngata</w:t>
                    </w:r>
                    <w:proofErr w:type="spellEnd"/>
                    <w:r>
                      <w:rPr>
                        <w:rStyle w:val="Hyperlink"/>
                        <w:color w:val="4C4DC3"/>
                        <w:position w:val="17"/>
                        <w:sz w:val="24"/>
                        <w:szCs w:val="24"/>
                      </w:rPr>
                      <w:t xml:space="preserve"> members</w:t>
                    </w:r>
                  </w:hyperlink>
                  <w:r>
                    <w:rPr>
                      <w:color w:val="363F48"/>
                      <w:position w:val="17"/>
                      <w:sz w:val="24"/>
                      <w:szCs w:val="24"/>
                    </w:rPr>
                    <w:t xml:space="preserve"> have been contributing to our cancer services planning work which will feed into the Health and Disability System Reforms (HDSR). I would like to extend my thanks to He Ara </w:t>
                  </w:r>
                  <w:proofErr w:type="spellStart"/>
                  <w:r>
                    <w:rPr>
                      <w:color w:val="363F48"/>
                      <w:position w:val="17"/>
                      <w:sz w:val="24"/>
                      <w:szCs w:val="24"/>
                    </w:rPr>
                    <w:t>Tāngata</w:t>
                  </w:r>
                  <w:proofErr w:type="spellEnd"/>
                  <w:r>
                    <w:rPr>
                      <w:color w:val="363F48"/>
                      <w:position w:val="17"/>
                      <w:sz w:val="24"/>
                      <w:szCs w:val="24"/>
                    </w:rPr>
                    <w:t xml:space="preserve"> for sharing their lived experience of cancer with us.</w:t>
                  </w:r>
                </w:p>
                <w:p w14:paraId="670E7D09" w14:textId="77777777" w:rsidR="00AC1368" w:rsidRDefault="00AC1368" w:rsidP="00AC1368">
                  <w:pPr>
                    <w:pStyle w:val="NormalWeb"/>
                    <w:spacing w:before="300" w:beforeAutospacing="0" w:after="0" w:afterAutospacing="0" w:line="360" w:lineRule="atLeast"/>
                    <w:textAlignment w:val="center"/>
                    <w:rPr>
                      <w:color w:val="363F48"/>
                      <w:position w:val="17"/>
                      <w:sz w:val="24"/>
                      <w:szCs w:val="24"/>
                    </w:rPr>
                  </w:pPr>
                  <w:r>
                    <w:rPr>
                      <w:color w:val="363F48"/>
                      <w:position w:val="17"/>
                      <w:sz w:val="24"/>
                      <w:szCs w:val="24"/>
                    </w:rPr>
                    <w:t xml:space="preserve">The </w:t>
                  </w:r>
                  <w:hyperlink r:id="rId11" w:history="1">
                    <w:r>
                      <w:rPr>
                        <w:rStyle w:val="Hyperlink"/>
                        <w:color w:val="4C4DC3"/>
                        <w:position w:val="17"/>
                        <w:sz w:val="24"/>
                        <w:szCs w:val="24"/>
                      </w:rPr>
                      <w:t>Māori Cancer Community Hui</w:t>
                    </w:r>
                  </w:hyperlink>
                  <w:r>
                    <w:rPr>
                      <w:color w:val="363F48"/>
                      <w:position w:val="17"/>
                      <w:sz w:val="24"/>
                      <w:szCs w:val="24"/>
                    </w:rPr>
                    <w:t xml:space="preserve"> got underway in February this year in Taranaki. Since </w:t>
                  </w:r>
                  <w:proofErr w:type="gramStart"/>
                  <w:r>
                    <w:rPr>
                      <w:color w:val="363F48"/>
                      <w:position w:val="17"/>
                      <w:sz w:val="24"/>
                      <w:szCs w:val="24"/>
                    </w:rPr>
                    <w:t>then</w:t>
                  </w:r>
                  <w:proofErr w:type="gramEnd"/>
                  <w:r>
                    <w:rPr>
                      <w:color w:val="363F48"/>
                      <w:position w:val="17"/>
                      <w:sz w:val="24"/>
                      <w:szCs w:val="24"/>
                    </w:rPr>
                    <w:t xml:space="preserve"> we have heard the voice of </w:t>
                  </w:r>
                  <w:proofErr w:type="spellStart"/>
                  <w:r>
                    <w:rPr>
                      <w:color w:val="363F48"/>
                      <w:position w:val="17"/>
                      <w:sz w:val="24"/>
                      <w:szCs w:val="24"/>
                    </w:rPr>
                    <w:t>whānau</w:t>
                  </w:r>
                  <w:proofErr w:type="spellEnd"/>
                  <w:r>
                    <w:rPr>
                      <w:color w:val="363F48"/>
                      <w:position w:val="17"/>
                      <w:sz w:val="24"/>
                      <w:szCs w:val="24"/>
                    </w:rPr>
                    <w:t xml:space="preserve"> Māori in eleven other locations including most recently: </w:t>
                  </w:r>
                  <w:proofErr w:type="spellStart"/>
                  <w:r>
                    <w:rPr>
                      <w:color w:val="363F48"/>
                      <w:position w:val="17"/>
                      <w:sz w:val="24"/>
                      <w:szCs w:val="24"/>
                    </w:rPr>
                    <w:t>Kaikohe</w:t>
                  </w:r>
                  <w:proofErr w:type="spellEnd"/>
                  <w:r>
                    <w:rPr>
                      <w:color w:val="363F48"/>
                      <w:position w:val="17"/>
                      <w:sz w:val="24"/>
                      <w:szCs w:val="24"/>
                    </w:rPr>
                    <w:t xml:space="preserve">, Auckland, Blenheim, Christchurch and Invercargill. Each hui is a massive collaborative undertaking, with our </w:t>
                  </w:r>
                  <w:proofErr w:type="spellStart"/>
                  <w:r>
                    <w:rPr>
                      <w:color w:val="363F48"/>
                      <w:position w:val="17"/>
                      <w:sz w:val="24"/>
                      <w:szCs w:val="24"/>
                    </w:rPr>
                    <w:t>Whānau</w:t>
                  </w:r>
                  <w:proofErr w:type="spellEnd"/>
                  <w:r>
                    <w:rPr>
                      <w:color w:val="363F48"/>
                      <w:position w:val="17"/>
                      <w:sz w:val="24"/>
                      <w:szCs w:val="24"/>
                    </w:rPr>
                    <w:t xml:space="preserve">-centred Care team and Regional Hubs working alongside DHBs, providers, iwi and </w:t>
                  </w:r>
                  <w:proofErr w:type="spellStart"/>
                  <w:r>
                    <w:rPr>
                      <w:color w:val="363F48"/>
                      <w:position w:val="17"/>
                      <w:sz w:val="24"/>
                      <w:szCs w:val="24"/>
                    </w:rPr>
                    <w:t>whānau</w:t>
                  </w:r>
                  <w:proofErr w:type="spellEnd"/>
                  <w:r>
                    <w:rPr>
                      <w:color w:val="363F48"/>
                      <w:position w:val="17"/>
                      <w:sz w:val="24"/>
                      <w:szCs w:val="24"/>
                    </w:rPr>
                    <w:t xml:space="preserve"> Māori to create a meaningful and relevant event for that region. The rich </w:t>
                  </w:r>
                  <w:proofErr w:type="spellStart"/>
                  <w:r>
                    <w:rPr>
                      <w:color w:val="363F48"/>
                      <w:position w:val="17"/>
                      <w:sz w:val="24"/>
                      <w:szCs w:val="24"/>
                    </w:rPr>
                    <w:t>kōrero</w:t>
                  </w:r>
                  <w:proofErr w:type="spellEnd"/>
                  <w:r>
                    <w:rPr>
                      <w:color w:val="363F48"/>
                      <w:position w:val="17"/>
                      <w:sz w:val="24"/>
                      <w:szCs w:val="24"/>
                    </w:rPr>
                    <w:t xml:space="preserve"> from the hui will be woven into our work to improve cancer care for </w:t>
                  </w:r>
                  <w:proofErr w:type="spellStart"/>
                  <w:r>
                    <w:rPr>
                      <w:color w:val="363F48"/>
                      <w:position w:val="17"/>
                      <w:sz w:val="24"/>
                      <w:szCs w:val="24"/>
                    </w:rPr>
                    <w:t>whānau</w:t>
                  </w:r>
                  <w:proofErr w:type="spellEnd"/>
                  <w:r>
                    <w:rPr>
                      <w:color w:val="363F48"/>
                      <w:position w:val="17"/>
                      <w:sz w:val="24"/>
                      <w:szCs w:val="24"/>
                    </w:rPr>
                    <w:t xml:space="preserve"> Māori. I am very grateful to all who have contributed to the success of the hui, thank you.</w:t>
                  </w:r>
                </w:p>
                <w:p w14:paraId="31DFA207" w14:textId="77777777" w:rsidR="00AC1368" w:rsidRDefault="00AC1368" w:rsidP="00AC1368">
                  <w:pPr>
                    <w:pStyle w:val="NormalWeb"/>
                    <w:spacing w:before="300" w:beforeAutospacing="0" w:after="300" w:afterAutospacing="0" w:line="360" w:lineRule="atLeast"/>
                    <w:textAlignment w:val="center"/>
                    <w:rPr>
                      <w:color w:val="363F48"/>
                      <w:position w:val="17"/>
                      <w:sz w:val="24"/>
                      <w:szCs w:val="24"/>
                    </w:rPr>
                  </w:pPr>
                  <w:r>
                    <w:rPr>
                      <w:color w:val="363F48"/>
                      <w:position w:val="17"/>
                      <w:sz w:val="24"/>
                      <w:szCs w:val="24"/>
                    </w:rPr>
                    <w:t xml:space="preserve">Last week I attended the launch of the permanent PRRT cancer treatment service in Auckland. This is an example of collaboration at its best - with Auckland DHB, Ministry of Health, University of Auckland, the Unicorn Foundation NZ and Te Aho o Te Kahu all working together to get this service off the ground. Listening to </w:t>
                  </w:r>
                  <w:proofErr w:type="spellStart"/>
                  <w:r>
                    <w:rPr>
                      <w:color w:val="363F48"/>
                      <w:position w:val="17"/>
                      <w:sz w:val="24"/>
                      <w:szCs w:val="24"/>
                    </w:rPr>
                    <w:t>whānau</w:t>
                  </w:r>
                  <w:proofErr w:type="spellEnd"/>
                  <w:r>
                    <w:rPr>
                      <w:color w:val="363F48"/>
                      <w:position w:val="17"/>
                      <w:sz w:val="24"/>
                      <w:szCs w:val="24"/>
                    </w:rPr>
                    <w:t xml:space="preserve"> living with neuroendocrine cancer talking about this life-saving service was very humbling. Te Aho o Te Kahu is proud to have played a role in the establishment of this service.</w:t>
                  </w:r>
                </w:p>
                <w:p w14:paraId="6B57C5A0" w14:textId="77777777" w:rsidR="00AC1368" w:rsidRDefault="00AC1368" w:rsidP="00AC1368">
                  <w:pPr>
                    <w:pStyle w:val="NormalWeb"/>
                    <w:spacing w:before="300" w:beforeAutospacing="0" w:after="300" w:afterAutospacing="0" w:line="360" w:lineRule="atLeast"/>
                    <w:textAlignment w:val="center"/>
                    <w:rPr>
                      <w:color w:val="363F48"/>
                      <w:position w:val="17"/>
                      <w:sz w:val="24"/>
                      <w:szCs w:val="24"/>
                    </w:rPr>
                  </w:pPr>
                </w:p>
                <w:p w14:paraId="21457839" w14:textId="77777777" w:rsidR="00AC1368" w:rsidRDefault="00AC1368" w:rsidP="00AC1368">
                  <w:pPr>
                    <w:spacing w:line="600" w:lineRule="exact"/>
                    <w:rPr>
                      <w:rFonts w:eastAsia="Times New Roman"/>
                      <w:color w:val="363F48"/>
                      <w:sz w:val="2"/>
                      <w:szCs w:val="2"/>
                    </w:rPr>
                  </w:pPr>
                </w:p>
              </w:tc>
              <w:tc>
                <w:tcPr>
                  <w:tcW w:w="0" w:type="auto"/>
                  <w:shd w:val="clear" w:color="auto" w:fill="C2D9BA"/>
                  <w:vAlign w:val="center"/>
                  <w:hideMark/>
                </w:tcPr>
                <w:p w14:paraId="0121E82B" w14:textId="77777777" w:rsidR="00AC1368" w:rsidRDefault="00AC1368" w:rsidP="00AC1368">
                  <w:pPr>
                    <w:rPr>
                      <w:rFonts w:eastAsia="Times New Roman"/>
                      <w:sz w:val="2"/>
                      <w:szCs w:val="2"/>
                    </w:rPr>
                  </w:pPr>
                </w:p>
              </w:tc>
            </w:tr>
            <w:tr w:rsidR="00AC1368" w14:paraId="7B7384CA" w14:textId="77777777">
              <w:tc>
                <w:tcPr>
                  <w:tcW w:w="0" w:type="auto"/>
                  <w:shd w:val="clear" w:color="auto" w:fill="9ECFCF"/>
                  <w:vAlign w:val="center"/>
                  <w:hideMark/>
                </w:tcPr>
                <w:p w14:paraId="4E9AB089" w14:textId="77777777" w:rsidR="00AC1368" w:rsidRDefault="00AC1368" w:rsidP="00AC1368">
                  <w:pPr>
                    <w:rPr>
                      <w:rFonts w:eastAsia="Times New Roman"/>
                      <w:sz w:val="2"/>
                      <w:szCs w:val="2"/>
                    </w:rPr>
                  </w:pPr>
                </w:p>
              </w:tc>
              <w:tc>
                <w:tcPr>
                  <w:tcW w:w="3000" w:type="dxa"/>
                  <w:shd w:val="clear" w:color="auto" w:fill="9ECFCF"/>
                  <w:hideMark/>
                </w:tcPr>
                <w:p w14:paraId="1F735EB0" w14:textId="77777777" w:rsidR="00AC1368" w:rsidRDefault="00AC1368" w:rsidP="00AC1368">
                  <w:pPr>
                    <w:spacing w:line="600" w:lineRule="exact"/>
                    <w:rPr>
                      <w:rFonts w:eastAsia="Times New Roman"/>
                      <w:color w:val="363F48"/>
                      <w:sz w:val="2"/>
                      <w:szCs w:val="2"/>
                    </w:rPr>
                  </w:pPr>
                </w:p>
                <w:p w14:paraId="280438BE" w14:textId="77777777" w:rsidR="00AC1368" w:rsidRDefault="00AC1368" w:rsidP="00AC1368">
                  <w:pPr>
                    <w:spacing w:line="285" w:lineRule="atLeast"/>
                    <w:rPr>
                      <w:rFonts w:eastAsia="Times New Roman"/>
                      <w:color w:val="363F48"/>
                      <w:sz w:val="18"/>
                      <w:szCs w:val="18"/>
                    </w:rPr>
                  </w:pPr>
                  <w:r>
                    <w:rPr>
                      <w:rFonts w:eastAsia="Times New Roman"/>
                      <w:noProof/>
                      <w:color w:val="4C4DC3"/>
                      <w:sz w:val="18"/>
                      <w:szCs w:val="18"/>
                    </w:rPr>
                    <w:drawing>
                      <wp:inline distT="0" distB="0" distL="0" distR="0" wp14:anchorId="645F5251" wp14:editId="37E5D3C7">
                        <wp:extent cx="1524000" cy="861060"/>
                        <wp:effectExtent l="0" t="0" r="0" b="0"/>
                        <wp:docPr id="5" name="Picture 5" descr="Close-up of COVID cel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se-up of COVID ce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0" cy="861060"/>
                                </a:xfrm>
                                <a:prstGeom prst="rect">
                                  <a:avLst/>
                                </a:prstGeom>
                                <a:noFill/>
                                <a:ln>
                                  <a:noFill/>
                                </a:ln>
                              </pic:spPr>
                            </pic:pic>
                          </a:graphicData>
                        </a:graphic>
                      </wp:inline>
                    </w:drawing>
                  </w:r>
                </w:p>
              </w:tc>
              <w:tc>
                <w:tcPr>
                  <w:tcW w:w="6000" w:type="dxa"/>
                  <w:shd w:val="clear" w:color="auto" w:fill="9ECFCF"/>
                  <w:hideMark/>
                </w:tcPr>
                <w:p w14:paraId="45018A58" w14:textId="77777777" w:rsidR="00AC1368" w:rsidRDefault="00AC1368" w:rsidP="00AC1368">
                  <w:pPr>
                    <w:spacing w:line="600" w:lineRule="exact"/>
                    <w:rPr>
                      <w:rFonts w:eastAsia="Times New Roman"/>
                      <w:color w:val="363F48"/>
                      <w:sz w:val="2"/>
                      <w:szCs w:val="2"/>
                    </w:rPr>
                  </w:pPr>
                </w:p>
                <w:p w14:paraId="67252A15" w14:textId="77777777" w:rsidR="00AC1368" w:rsidRDefault="00AC1368" w:rsidP="00AC1368">
                  <w:pPr>
                    <w:pStyle w:val="size-241"/>
                    <w:spacing w:before="0" w:beforeAutospacing="0" w:after="0" w:afterAutospacing="0" w:line="480" w:lineRule="exact"/>
                    <w:textAlignment w:val="center"/>
                    <w:rPr>
                      <w:rFonts w:ascii="Montserrat" w:hAnsi="Montserrat"/>
                      <w:color w:val="363F48"/>
                      <w:position w:val="17"/>
                    </w:rPr>
                  </w:pPr>
                  <w:r>
                    <w:rPr>
                      <w:rStyle w:val="Strong"/>
                      <w:rFonts w:ascii="Montserrat" w:hAnsi="Montserrat"/>
                      <w:color w:val="141312"/>
                      <w:position w:val="17"/>
                    </w:rPr>
                    <w:t>COVID-19</w:t>
                  </w:r>
                </w:p>
                <w:p w14:paraId="17CC58D9" w14:textId="77777777" w:rsidR="00AC1368" w:rsidRDefault="00AC1368" w:rsidP="00AC1368">
                  <w:pPr>
                    <w:pStyle w:val="NormalWeb"/>
                    <w:spacing w:before="300" w:beforeAutospacing="0" w:after="0" w:afterAutospacing="0" w:line="360" w:lineRule="atLeast"/>
                    <w:textAlignment w:val="center"/>
                    <w:rPr>
                      <w:color w:val="363F48"/>
                      <w:position w:val="17"/>
                      <w:sz w:val="24"/>
                      <w:szCs w:val="24"/>
                    </w:rPr>
                  </w:pPr>
                  <w:r>
                    <w:rPr>
                      <w:color w:val="363F48"/>
                      <w:position w:val="17"/>
                      <w:sz w:val="24"/>
                      <w:szCs w:val="24"/>
                    </w:rPr>
                    <w:t>We have recently updated our advice for clinicians on COVID-19 vaccines and cancer. The advice still supports people with cancer receiving the COVID-19 vaccine and provides guidance around optimal timing to administer the vaccine for those receiving active treatment. You can find the most recent version of the advice and FAQs for people with cancer </w:t>
                  </w:r>
                  <w:hyperlink r:id="rId14" w:history="1">
                    <w:r>
                      <w:rPr>
                        <w:rStyle w:val="Hyperlink"/>
                        <w:color w:val="4C4DC3"/>
                        <w:position w:val="17"/>
                        <w:sz w:val="24"/>
                        <w:szCs w:val="24"/>
                      </w:rPr>
                      <w:t>here.</w:t>
                    </w:r>
                  </w:hyperlink>
                </w:p>
                <w:p w14:paraId="157941EB" w14:textId="77777777" w:rsidR="00AC1368" w:rsidRDefault="00AC1368" w:rsidP="00AC1368">
                  <w:pPr>
                    <w:pStyle w:val="NormalWeb"/>
                    <w:spacing w:before="300" w:beforeAutospacing="0" w:after="300" w:afterAutospacing="0" w:line="360" w:lineRule="atLeast"/>
                    <w:textAlignment w:val="center"/>
                    <w:rPr>
                      <w:color w:val="363F48"/>
                      <w:position w:val="17"/>
                      <w:sz w:val="24"/>
                      <w:szCs w:val="24"/>
                    </w:rPr>
                  </w:pPr>
                  <w:r>
                    <w:rPr>
                      <w:color w:val="363F48"/>
                      <w:position w:val="17"/>
                      <w:sz w:val="24"/>
                      <w:szCs w:val="24"/>
                    </w:rPr>
                    <w:t xml:space="preserve">Te Aho o Te Kahu has recently published a </w:t>
                  </w:r>
                  <w:hyperlink r:id="rId15" w:history="1">
                    <w:r>
                      <w:rPr>
                        <w:rStyle w:val="Hyperlink"/>
                        <w:color w:val="4C4DC3"/>
                        <w:position w:val="17"/>
                        <w:sz w:val="24"/>
                        <w:szCs w:val="24"/>
                      </w:rPr>
                      <w:t>paper on the New Zealand Aotearoa experience of COVID-19 and cancer</w:t>
                    </w:r>
                  </w:hyperlink>
                  <w:r>
                    <w:rPr>
                      <w:color w:val="363F48"/>
                      <w:position w:val="17"/>
                      <w:sz w:val="24"/>
                      <w:szCs w:val="24"/>
                    </w:rPr>
                    <w:t xml:space="preserve"> in the Lancet Regional Health – Western Pacific Journal. The paper also gets a mention in a recent </w:t>
                  </w:r>
                  <w:hyperlink r:id="rId16" w:history="1">
                    <w:r>
                      <w:rPr>
                        <w:rStyle w:val="Hyperlink"/>
                        <w:color w:val="4C4DC3"/>
                        <w:position w:val="17"/>
                        <w:sz w:val="24"/>
                        <w:szCs w:val="24"/>
                      </w:rPr>
                      <w:t>Māori Health Review</w:t>
                    </w:r>
                  </w:hyperlink>
                  <w:r>
                    <w:rPr>
                      <w:color w:val="363F48"/>
                      <w:position w:val="17"/>
                      <w:sz w:val="24"/>
                      <w:szCs w:val="24"/>
                    </w:rPr>
                    <w:t>.</w:t>
                  </w:r>
                </w:p>
                <w:p w14:paraId="67E299FA" w14:textId="77777777" w:rsidR="00AC1368" w:rsidRDefault="00AC1368" w:rsidP="00AC1368">
                  <w:pPr>
                    <w:spacing w:line="600" w:lineRule="exact"/>
                    <w:rPr>
                      <w:rFonts w:eastAsia="Times New Roman"/>
                      <w:color w:val="363F48"/>
                      <w:sz w:val="2"/>
                      <w:szCs w:val="2"/>
                    </w:rPr>
                  </w:pPr>
                </w:p>
              </w:tc>
              <w:tc>
                <w:tcPr>
                  <w:tcW w:w="0" w:type="auto"/>
                  <w:shd w:val="clear" w:color="auto" w:fill="9ECFCF"/>
                  <w:vAlign w:val="center"/>
                  <w:hideMark/>
                </w:tcPr>
                <w:p w14:paraId="7B3A0234" w14:textId="77777777" w:rsidR="00AC1368" w:rsidRDefault="00AC1368" w:rsidP="00AC1368">
                  <w:pPr>
                    <w:rPr>
                      <w:rFonts w:eastAsia="Times New Roman"/>
                      <w:sz w:val="2"/>
                      <w:szCs w:val="2"/>
                    </w:rPr>
                  </w:pPr>
                </w:p>
              </w:tc>
            </w:tr>
          </w:tbl>
          <w:p w14:paraId="19BA3BFC" w14:textId="77777777" w:rsidR="00AC1368" w:rsidRDefault="00AC1368" w:rsidP="00AC1368">
            <w:pPr>
              <w:shd w:val="clear" w:color="auto" w:fill="FFF7ED"/>
              <w:rPr>
                <w:rFonts w:eastAsia="Times New Roman"/>
                <w:vanish/>
              </w:rPr>
            </w:pPr>
          </w:p>
          <w:tbl>
            <w:tblPr>
              <w:tblW w:w="5000" w:type="pct"/>
              <w:tblCellMar>
                <w:left w:w="0" w:type="dxa"/>
                <w:right w:w="0" w:type="dxa"/>
              </w:tblCellMar>
              <w:tblLook w:val="04A0" w:firstRow="1" w:lastRow="0" w:firstColumn="1" w:lastColumn="0" w:noHBand="0" w:noVBand="1"/>
            </w:tblPr>
            <w:tblGrid>
              <w:gridCol w:w="6"/>
              <w:gridCol w:w="3538"/>
              <w:gridCol w:w="5476"/>
              <w:gridCol w:w="6"/>
            </w:tblGrid>
            <w:tr w:rsidR="00AC1368" w14:paraId="6EF45ADE" w14:textId="77777777" w:rsidTr="00AC1368">
              <w:tc>
                <w:tcPr>
                  <w:tcW w:w="0" w:type="auto"/>
                  <w:shd w:val="clear" w:color="auto" w:fill="FFF7ED"/>
                  <w:vAlign w:val="center"/>
                  <w:hideMark/>
                </w:tcPr>
                <w:p w14:paraId="189BFD1A" w14:textId="77777777" w:rsidR="00AC1368" w:rsidRDefault="00AC1368" w:rsidP="00AC1368">
                  <w:pPr>
                    <w:rPr>
                      <w:rFonts w:eastAsia="Times New Roman"/>
                      <w:sz w:val="2"/>
                      <w:szCs w:val="2"/>
                    </w:rPr>
                  </w:pPr>
                </w:p>
              </w:tc>
              <w:tc>
                <w:tcPr>
                  <w:tcW w:w="3538" w:type="dxa"/>
                  <w:shd w:val="clear" w:color="auto" w:fill="FFF7ED"/>
                  <w:hideMark/>
                </w:tcPr>
                <w:p w14:paraId="33499E05" w14:textId="77777777" w:rsidR="00AC1368" w:rsidRDefault="00AC1368" w:rsidP="00AC1368">
                  <w:pPr>
                    <w:spacing w:line="600" w:lineRule="exact"/>
                    <w:rPr>
                      <w:rFonts w:eastAsia="Times New Roman"/>
                      <w:color w:val="363F48"/>
                      <w:sz w:val="2"/>
                      <w:szCs w:val="2"/>
                    </w:rPr>
                  </w:pPr>
                </w:p>
                <w:p w14:paraId="2A3FFBE9" w14:textId="77777777" w:rsidR="00AC1368" w:rsidRDefault="00AC1368" w:rsidP="00AC1368">
                  <w:pPr>
                    <w:spacing w:line="285" w:lineRule="atLeast"/>
                    <w:rPr>
                      <w:rFonts w:eastAsia="Times New Roman"/>
                      <w:color w:val="363F48"/>
                      <w:sz w:val="18"/>
                      <w:szCs w:val="18"/>
                    </w:rPr>
                  </w:pPr>
                  <w:r>
                    <w:rPr>
                      <w:rFonts w:eastAsia="Times New Roman"/>
                      <w:noProof/>
                      <w:color w:val="363F48"/>
                      <w:sz w:val="18"/>
                      <w:szCs w:val="18"/>
                    </w:rPr>
                    <w:drawing>
                      <wp:inline distT="0" distB="0" distL="0" distR="0" wp14:anchorId="052B91CB" wp14:editId="7384D7D5">
                        <wp:extent cx="1905000" cy="1379220"/>
                        <wp:effectExtent l="0" t="0" r="0" b="0"/>
                        <wp:docPr id="4" name="Picture 4" descr="A close up of a flax kahu (clo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flax kahu (cloa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0" cy="1379220"/>
                                </a:xfrm>
                                <a:prstGeom prst="rect">
                                  <a:avLst/>
                                </a:prstGeom>
                                <a:noFill/>
                                <a:ln>
                                  <a:noFill/>
                                </a:ln>
                              </pic:spPr>
                            </pic:pic>
                          </a:graphicData>
                        </a:graphic>
                      </wp:inline>
                    </w:drawing>
                  </w:r>
                </w:p>
              </w:tc>
              <w:tc>
                <w:tcPr>
                  <w:tcW w:w="5476" w:type="dxa"/>
                  <w:shd w:val="clear" w:color="auto" w:fill="FFF7ED"/>
                  <w:hideMark/>
                </w:tcPr>
                <w:p w14:paraId="73AFE82B" w14:textId="77777777" w:rsidR="00AC1368" w:rsidRDefault="00AC1368" w:rsidP="00AC1368">
                  <w:pPr>
                    <w:spacing w:line="600" w:lineRule="exact"/>
                    <w:rPr>
                      <w:rFonts w:eastAsia="Times New Roman"/>
                      <w:color w:val="363F48"/>
                      <w:sz w:val="2"/>
                      <w:szCs w:val="2"/>
                    </w:rPr>
                  </w:pPr>
                </w:p>
                <w:p w14:paraId="3E6AA13F" w14:textId="77777777" w:rsidR="00AC1368" w:rsidRDefault="00AC1368" w:rsidP="00AC1368">
                  <w:pPr>
                    <w:pStyle w:val="size-241"/>
                    <w:spacing w:before="0" w:beforeAutospacing="0" w:after="0" w:afterAutospacing="0" w:line="480" w:lineRule="exact"/>
                    <w:textAlignment w:val="center"/>
                    <w:rPr>
                      <w:rFonts w:ascii="Montserrat" w:hAnsi="Montserrat"/>
                      <w:color w:val="363F48"/>
                      <w:position w:val="17"/>
                    </w:rPr>
                  </w:pPr>
                  <w:r>
                    <w:rPr>
                      <w:rStyle w:val="Strong"/>
                      <w:rFonts w:ascii="Montserrat" w:hAnsi="Montserrat"/>
                      <w:color w:val="363F48"/>
                      <w:position w:val="17"/>
                    </w:rPr>
                    <w:t>Health and Disability System Reforms Opportunity - Cancer Services Planning Project</w:t>
                  </w:r>
                </w:p>
                <w:p w14:paraId="1BB8CFD2" w14:textId="77777777" w:rsidR="00AC1368" w:rsidRDefault="00AC1368" w:rsidP="00AC1368">
                  <w:pPr>
                    <w:pStyle w:val="NormalWeb"/>
                    <w:spacing w:before="300" w:beforeAutospacing="0" w:after="0" w:afterAutospacing="0" w:line="360" w:lineRule="atLeast"/>
                    <w:textAlignment w:val="center"/>
                    <w:rPr>
                      <w:color w:val="363F48"/>
                      <w:position w:val="17"/>
                      <w:sz w:val="24"/>
                      <w:szCs w:val="24"/>
                    </w:rPr>
                  </w:pPr>
                  <w:r>
                    <w:rPr>
                      <w:color w:val="363F48"/>
                      <w:position w:val="17"/>
                      <w:sz w:val="24"/>
                      <w:szCs w:val="24"/>
                    </w:rPr>
                    <w:t>While much works well and the cancer health workforce constantly shows incredible commitment to ensure the wellbeing of their patients, there are challenges in ensuring people get the care they need at the time that they need it. The current health and disability system reforms provide us with a rare opportunity to consider new ways of operating and delivering care in the health system.</w:t>
                  </w:r>
                </w:p>
                <w:p w14:paraId="1C096E47" w14:textId="77777777" w:rsidR="00AC1368" w:rsidRDefault="00AC1368" w:rsidP="00AC1368">
                  <w:pPr>
                    <w:pStyle w:val="NormalWeb"/>
                    <w:spacing w:before="300" w:beforeAutospacing="0" w:after="0" w:afterAutospacing="0" w:line="360" w:lineRule="atLeast"/>
                    <w:textAlignment w:val="center"/>
                    <w:rPr>
                      <w:color w:val="363F48"/>
                      <w:position w:val="17"/>
                      <w:sz w:val="24"/>
                      <w:szCs w:val="24"/>
                    </w:rPr>
                  </w:pPr>
                  <w:r>
                    <w:rPr>
                      <w:color w:val="363F48"/>
                      <w:position w:val="17"/>
                      <w:sz w:val="24"/>
                      <w:szCs w:val="24"/>
                    </w:rPr>
                    <w:t xml:space="preserve">Whilst keeping a watchful eye on ensuring cancer services are supported during the reform process, we are prioritising work within Te Aho o Te Kahu to leverage this opportunity for change. To do this in a structured way, we have set up a Cancer Services Planning project to provide evidence-based guidance </w:t>
                  </w:r>
                  <w:r>
                    <w:rPr>
                      <w:color w:val="363F48"/>
                      <w:position w:val="17"/>
                      <w:sz w:val="24"/>
                      <w:szCs w:val="24"/>
                    </w:rPr>
                    <w:lastRenderedPageBreak/>
                    <w:t>and recommendations to the future health care commissioning entities on how cancer treatment services in Aotearoa/New Zealand could be improved. Te Aho o Te Kahu is working alongside the HDSR Transition Unit to ensure this work aligns with the reform process more generally.</w:t>
                  </w:r>
                </w:p>
                <w:p w14:paraId="30D85C1B" w14:textId="77777777" w:rsidR="00AC1368" w:rsidRDefault="00AC1368" w:rsidP="00AC1368">
                  <w:pPr>
                    <w:pStyle w:val="NormalWeb"/>
                    <w:spacing w:before="300" w:beforeAutospacing="0" w:after="0" w:afterAutospacing="0" w:line="360" w:lineRule="atLeast"/>
                    <w:textAlignment w:val="center"/>
                    <w:rPr>
                      <w:color w:val="363F48"/>
                      <w:position w:val="17"/>
                      <w:sz w:val="24"/>
                      <w:szCs w:val="24"/>
                    </w:rPr>
                  </w:pPr>
                  <w:r>
                    <w:rPr>
                      <w:rStyle w:val="Strong"/>
                      <w:color w:val="363F48"/>
                      <w:position w:val="17"/>
                      <w:sz w:val="24"/>
                      <w:szCs w:val="24"/>
                    </w:rPr>
                    <w:t>Scope</w:t>
                  </w:r>
                </w:p>
                <w:p w14:paraId="77524821" w14:textId="77777777" w:rsidR="00AC1368" w:rsidRDefault="00AC1368" w:rsidP="00AC1368">
                  <w:pPr>
                    <w:numPr>
                      <w:ilvl w:val="0"/>
                      <w:numId w:val="1"/>
                    </w:numPr>
                    <w:spacing w:before="300" w:line="360" w:lineRule="atLeast"/>
                    <w:ind w:left="1080"/>
                    <w:textAlignment w:val="center"/>
                    <w:rPr>
                      <w:rFonts w:eastAsia="Times New Roman"/>
                      <w:color w:val="363F48"/>
                      <w:position w:val="17"/>
                      <w:sz w:val="24"/>
                      <w:szCs w:val="24"/>
                    </w:rPr>
                  </w:pPr>
                  <w:r>
                    <w:rPr>
                      <w:rFonts w:eastAsia="Times New Roman"/>
                      <w:color w:val="363F48"/>
                      <w:position w:val="17"/>
                      <w:sz w:val="24"/>
                      <w:szCs w:val="24"/>
                    </w:rPr>
                    <w:t xml:space="preserve">The project scope centres on how to best organise and distribute cancer treatment and support services to achieve optimal and equitable cancer outcomes and </w:t>
                  </w:r>
                  <w:proofErr w:type="spellStart"/>
                  <w:r>
                    <w:rPr>
                      <w:rFonts w:eastAsia="Times New Roman"/>
                      <w:color w:val="363F48"/>
                      <w:position w:val="17"/>
                      <w:sz w:val="24"/>
                      <w:szCs w:val="24"/>
                    </w:rPr>
                    <w:t>whānau</w:t>
                  </w:r>
                  <w:proofErr w:type="spellEnd"/>
                  <w:r>
                    <w:rPr>
                      <w:rFonts w:eastAsia="Times New Roman"/>
                      <w:color w:val="363F48"/>
                      <w:position w:val="17"/>
                      <w:sz w:val="24"/>
                      <w:szCs w:val="24"/>
                    </w:rPr>
                    <w:t xml:space="preserve"> experience.  The project focuses on services traditionally based in the secondary and tertiary care sector.</w:t>
                  </w:r>
                </w:p>
                <w:p w14:paraId="2AA60F67" w14:textId="77777777" w:rsidR="00AC1368" w:rsidRDefault="00AC1368" w:rsidP="00AC1368">
                  <w:pPr>
                    <w:numPr>
                      <w:ilvl w:val="0"/>
                      <w:numId w:val="1"/>
                    </w:numPr>
                    <w:spacing w:line="360" w:lineRule="atLeast"/>
                    <w:ind w:left="1080"/>
                    <w:textAlignment w:val="center"/>
                    <w:rPr>
                      <w:rFonts w:eastAsia="Times New Roman"/>
                      <w:color w:val="363F48"/>
                      <w:position w:val="17"/>
                      <w:sz w:val="24"/>
                      <w:szCs w:val="24"/>
                    </w:rPr>
                  </w:pPr>
                  <w:r>
                    <w:rPr>
                      <w:rFonts w:eastAsia="Times New Roman"/>
                      <w:color w:val="363F48"/>
                      <w:position w:val="17"/>
                      <w:sz w:val="24"/>
                      <w:szCs w:val="24"/>
                    </w:rPr>
                    <w:t>This work is progressing alongside other complementary projects that are specifically looking at the role of primary care in cancer more broadly, cancer prevention and quality indicators.</w:t>
                  </w:r>
                </w:p>
                <w:p w14:paraId="3FA9AE2C" w14:textId="77777777" w:rsidR="00AC1368" w:rsidRDefault="00AC1368" w:rsidP="00AC1368">
                  <w:pPr>
                    <w:numPr>
                      <w:ilvl w:val="0"/>
                      <w:numId w:val="1"/>
                    </w:numPr>
                    <w:spacing w:line="360" w:lineRule="atLeast"/>
                    <w:ind w:left="1080"/>
                    <w:textAlignment w:val="center"/>
                    <w:rPr>
                      <w:rFonts w:eastAsia="Times New Roman"/>
                      <w:color w:val="363F48"/>
                      <w:position w:val="17"/>
                      <w:sz w:val="24"/>
                      <w:szCs w:val="24"/>
                    </w:rPr>
                  </w:pPr>
                  <w:r>
                    <w:rPr>
                      <w:rFonts w:eastAsia="Times New Roman"/>
                      <w:color w:val="363F48"/>
                      <w:position w:val="17"/>
                      <w:sz w:val="24"/>
                      <w:szCs w:val="24"/>
                    </w:rPr>
                    <w:t>Work on this project began in October last year and continues at pace with support from over 20 staff from across Te Aho o Te Kahu.</w:t>
                  </w:r>
                </w:p>
                <w:p w14:paraId="6B8B99F6" w14:textId="77777777" w:rsidR="00AC1368" w:rsidRDefault="00AC1368" w:rsidP="00AC1368">
                  <w:pPr>
                    <w:numPr>
                      <w:ilvl w:val="0"/>
                      <w:numId w:val="1"/>
                    </w:numPr>
                    <w:spacing w:line="360" w:lineRule="atLeast"/>
                    <w:ind w:left="1080"/>
                    <w:textAlignment w:val="center"/>
                    <w:rPr>
                      <w:rFonts w:eastAsia="Times New Roman"/>
                      <w:color w:val="363F48"/>
                      <w:position w:val="17"/>
                      <w:sz w:val="24"/>
                      <w:szCs w:val="24"/>
                    </w:rPr>
                  </w:pPr>
                  <w:r>
                    <w:rPr>
                      <w:rFonts w:eastAsia="Times New Roman"/>
                      <w:color w:val="363F48"/>
                      <w:position w:val="17"/>
                      <w:sz w:val="24"/>
                      <w:szCs w:val="24"/>
                    </w:rPr>
                    <w:t xml:space="preserve">There are six workstreams focusing on key treatment modalities (surgery, radiation oncology, systemic treatments), and clinical services like radiology and pathology.  We also have a workstream specifically focused on equity, and another focused on supportive care, allied health and other </w:t>
                  </w:r>
                  <w:proofErr w:type="spellStart"/>
                  <w:r>
                    <w:rPr>
                      <w:rFonts w:eastAsia="Times New Roman"/>
                      <w:color w:val="363F48"/>
                      <w:position w:val="17"/>
                      <w:sz w:val="24"/>
                      <w:szCs w:val="24"/>
                    </w:rPr>
                    <w:t>whānau</w:t>
                  </w:r>
                  <w:proofErr w:type="spellEnd"/>
                  <w:r>
                    <w:rPr>
                      <w:rFonts w:eastAsia="Times New Roman"/>
                      <w:color w:val="363F48"/>
                      <w:position w:val="17"/>
                      <w:sz w:val="24"/>
                      <w:szCs w:val="24"/>
                    </w:rPr>
                    <w:t>-centred services that are so important for patient pathways and the delivery of equitable cancer care.</w:t>
                  </w:r>
                </w:p>
                <w:p w14:paraId="659E533F" w14:textId="77777777" w:rsidR="00AC1368" w:rsidRDefault="00AC1368" w:rsidP="00AC1368">
                  <w:pPr>
                    <w:numPr>
                      <w:ilvl w:val="0"/>
                      <w:numId w:val="1"/>
                    </w:numPr>
                    <w:spacing w:line="360" w:lineRule="atLeast"/>
                    <w:ind w:left="1080"/>
                    <w:textAlignment w:val="center"/>
                    <w:rPr>
                      <w:rFonts w:eastAsia="Times New Roman"/>
                      <w:color w:val="363F48"/>
                      <w:position w:val="17"/>
                      <w:sz w:val="24"/>
                      <w:szCs w:val="24"/>
                    </w:rPr>
                  </w:pPr>
                  <w:r>
                    <w:rPr>
                      <w:rFonts w:eastAsia="Times New Roman"/>
                      <w:color w:val="363F48"/>
                      <w:position w:val="17"/>
                      <w:sz w:val="24"/>
                      <w:szCs w:val="24"/>
                    </w:rPr>
                    <w:t xml:space="preserve">Each workstream will consider relevant research, </w:t>
                  </w:r>
                  <w:proofErr w:type="gramStart"/>
                  <w:r>
                    <w:rPr>
                      <w:rFonts w:eastAsia="Times New Roman"/>
                      <w:color w:val="363F48"/>
                      <w:position w:val="17"/>
                      <w:sz w:val="24"/>
                      <w:szCs w:val="24"/>
                    </w:rPr>
                    <w:t>literature</w:t>
                  </w:r>
                  <w:proofErr w:type="gramEnd"/>
                  <w:r>
                    <w:rPr>
                      <w:rFonts w:eastAsia="Times New Roman"/>
                      <w:color w:val="363F48"/>
                      <w:position w:val="17"/>
                      <w:sz w:val="24"/>
                      <w:szCs w:val="24"/>
                    </w:rPr>
                    <w:t xml:space="preserve"> and targeted stakeholder engagement to recommend </w:t>
                  </w:r>
                  <w:r>
                    <w:rPr>
                      <w:rFonts w:eastAsia="Times New Roman"/>
                      <w:color w:val="363F48"/>
                      <w:position w:val="17"/>
                      <w:sz w:val="24"/>
                      <w:szCs w:val="24"/>
                    </w:rPr>
                    <w:lastRenderedPageBreak/>
                    <w:t>models for improved distribution and organisation of cancer treatment services.</w:t>
                  </w:r>
                </w:p>
                <w:p w14:paraId="05EC92D9" w14:textId="77777777" w:rsidR="00AC1368" w:rsidRDefault="00AC1368" w:rsidP="00AC1368">
                  <w:pPr>
                    <w:numPr>
                      <w:ilvl w:val="0"/>
                      <w:numId w:val="1"/>
                    </w:numPr>
                    <w:spacing w:line="360" w:lineRule="atLeast"/>
                    <w:ind w:left="1080"/>
                    <w:textAlignment w:val="center"/>
                    <w:rPr>
                      <w:rFonts w:eastAsia="Times New Roman"/>
                      <w:color w:val="363F48"/>
                      <w:position w:val="17"/>
                      <w:sz w:val="24"/>
                      <w:szCs w:val="24"/>
                    </w:rPr>
                  </w:pPr>
                  <w:r>
                    <w:rPr>
                      <w:rFonts w:eastAsia="Times New Roman"/>
                      <w:color w:val="363F48"/>
                      <w:position w:val="17"/>
                      <w:sz w:val="24"/>
                      <w:szCs w:val="24"/>
                    </w:rPr>
                    <w:t xml:space="preserve">These recommendations will provide a high-level vision of how cancer treatment services can be integrated, </w:t>
                  </w:r>
                  <w:proofErr w:type="gramStart"/>
                  <w:r>
                    <w:rPr>
                      <w:rFonts w:eastAsia="Times New Roman"/>
                      <w:color w:val="363F48"/>
                      <w:position w:val="17"/>
                      <w:sz w:val="24"/>
                      <w:szCs w:val="24"/>
                    </w:rPr>
                    <w:t>organised</w:t>
                  </w:r>
                  <w:proofErr w:type="gramEnd"/>
                  <w:r>
                    <w:rPr>
                      <w:rFonts w:eastAsia="Times New Roman"/>
                      <w:color w:val="363F48"/>
                      <w:position w:val="17"/>
                      <w:sz w:val="24"/>
                      <w:szCs w:val="24"/>
                    </w:rPr>
                    <w:t xml:space="preserve"> and distributed in a way that puts </w:t>
                  </w:r>
                  <w:proofErr w:type="spellStart"/>
                  <w:r>
                    <w:rPr>
                      <w:rFonts w:eastAsia="Times New Roman"/>
                      <w:color w:val="363F48"/>
                      <w:position w:val="17"/>
                      <w:sz w:val="24"/>
                      <w:szCs w:val="24"/>
                    </w:rPr>
                    <w:t>whānau</w:t>
                  </w:r>
                  <w:proofErr w:type="spellEnd"/>
                  <w:r>
                    <w:rPr>
                      <w:rFonts w:eastAsia="Times New Roman"/>
                      <w:color w:val="363F48"/>
                      <w:position w:val="17"/>
                      <w:sz w:val="24"/>
                      <w:szCs w:val="24"/>
                    </w:rPr>
                    <w:t xml:space="preserve"> at the centre, located as close to where people live as possible, while still being safe, equitable, effective and sustainable.</w:t>
                  </w:r>
                </w:p>
                <w:p w14:paraId="5FCA4514" w14:textId="77777777" w:rsidR="00AC1368" w:rsidRDefault="00AC1368" w:rsidP="00AC1368">
                  <w:pPr>
                    <w:numPr>
                      <w:ilvl w:val="0"/>
                      <w:numId w:val="1"/>
                    </w:numPr>
                    <w:spacing w:line="360" w:lineRule="atLeast"/>
                    <w:ind w:left="1080"/>
                    <w:textAlignment w:val="center"/>
                    <w:rPr>
                      <w:rFonts w:eastAsia="Times New Roman"/>
                      <w:color w:val="363F48"/>
                      <w:position w:val="17"/>
                      <w:sz w:val="24"/>
                      <w:szCs w:val="24"/>
                    </w:rPr>
                  </w:pPr>
                  <w:r>
                    <w:rPr>
                      <w:rFonts w:eastAsia="Times New Roman"/>
                      <w:color w:val="363F48"/>
                      <w:position w:val="17"/>
                      <w:sz w:val="24"/>
                      <w:szCs w:val="24"/>
                    </w:rPr>
                    <w:t xml:space="preserve">The project has allocated equity champions within each workstream to identify and respond to current and potential equity impacts, and to ensure we are working in a manner that respects and is consistent with Te </w:t>
                  </w:r>
                  <w:proofErr w:type="spellStart"/>
                  <w:r>
                    <w:rPr>
                      <w:rFonts w:eastAsia="Times New Roman"/>
                      <w:color w:val="363F48"/>
                      <w:position w:val="17"/>
                      <w:sz w:val="24"/>
                      <w:szCs w:val="24"/>
                    </w:rPr>
                    <w:t>Tiriti</w:t>
                  </w:r>
                  <w:proofErr w:type="spellEnd"/>
                  <w:r>
                    <w:rPr>
                      <w:rFonts w:eastAsia="Times New Roman"/>
                      <w:color w:val="363F48"/>
                      <w:position w:val="17"/>
                      <w:sz w:val="24"/>
                      <w:szCs w:val="24"/>
                    </w:rPr>
                    <w:t xml:space="preserve"> o Waitangi principles. We are working closely with Hei </w:t>
                  </w:r>
                  <w:proofErr w:type="spellStart"/>
                  <w:r>
                    <w:rPr>
                      <w:rFonts w:eastAsia="Times New Roman"/>
                      <w:color w:val="363F48"/>
                      <w:position w:val="17"/>
                      <w:sz w:val="24"/>
                      <w:szCs w:val="24"/>
                    </w:rPr>
                    <w:t>Āhuru</w:t>
                  </w:r>
                  <w:proofErr w:type="spellEnd"/>
                  <w:r>
                    <w:rPr>
                      <w:rFonts w:eastAsia="Times New Roman"/>
                      <w:color w:val="363F48"/>
                      <w:position w:val="17"/>
                      <w:sz w:val="24"/>
                      <w:szCs w:val="24"/>
                    </w:rPr>
                    <w:t xml:space="preserve"> </w:t>
                  </w:r>
                  <w:proofErr w:type="spellStart"/>
                  <w:r>
                    <w:rPr>
                      <w:rFonts w:eastAsia="Times New Roman"/>
                      <w:color w:val="363F48"/>
                      <w:position w:val="17"/>
                      <w:sz w:val="24"/>
                      <w:szCs w:val="24"/>
                    </w:rPr>
                    <w:t>Mōwai</w:t>
                  </w:r>
                  <w:proofErr w:type="spellEnd"/>
                  <w:r>
                    <w:rPr>
                      <w:rFonts w:eastAsia="Times New Roman"/>
                      <w:color w:val="363F48"/>
                      <w:position w:val="17"/>
                      <w:sz w:val="24"/>
                      <w:szCs w:val="24"/>
                    </w:rPr>
                    <w:t>, Māori Cancer Leadership, on this approach.</w:t>
                  </w:r>
                </w:p>
                <w:p w14:paraId="6DC8FD95" w14:textId="77777777" w:rsidR="00AC1368" w:rsidRDefault="00AC1368" w:rsidP="00AC1368">
                  <w:pPr>
                    <w:numPr>
                      <w:ilvl w:val="0"/>
                      <w:numId w:val="1"/>
                    </w:numPr>
                    <w:spacing w:line="360" w:lineRule="atLeast"/>
                    <w:ind w:left="1080"/>
                    <w:textAlignment w:val="center"/>
                    <w:rPr>
                      <w:rFonts w:eastAsia="Times New Roman"/>
                      <w:color w:val="363F48"/>
                      <w:position w:val="17"/>
                      <w:sz w:val="24"/>
                      <w:szCs w:val="24"/>
                    </w:rPr>
                  </w:pPr>
                  <w:r>
                    <w:rPr>
                      <w:rFonts w:eastAsia="Times New Roman"/>
                      <w:color w:val="363F48"/>
                      <w:position w:val="17"/>
                      <w:sz w:val="24"/>
                      <w:szCs w:val="24"/>
                    </w:rPr>
                    <w:t xml:space="preserve">He Ara </w:t>
                  </w:r>
                  <w:proofErr w:type="spellStart"/>
                  <w:r>
                    <w:rPr>
                      <w:rFonts w:eastAsia="Times New Roman"/>
                      <w:color w:val="363F48"/>
                      <w:position w:val="17"/>
                      <w:sz w:val="24"/>
                      <w:szCs w:val="24"/>
                    </w:rPr>
                    <w:t>Tāngata</w:t>
                  </w:r>
                  <w:proofErr w:type="spellEnd"/>
                  <w:r>
                    <w:rPr>
                      <w:rFonts w:eastAsia="Times New Roman"/>
                      <w:color w:val="363F48"/>
                      <w:position w:val="17"/>
                      <w:sz w:val="24"/>
                      <w:szCs w:val="24"/>
                    </w:rPr>
                    <w:t xml:space="preserve"> (our Consumer Reference Group) and Hei </w:t>
                  </w:r>
                  <w:proofErr w:type="spellStart"/>
                  <w:r>
                    <w:rPr>
                      <w:rFonts w:eastAsia="Times New Roman"/>
                      <w:color w:val="363F48"/>
                      <w:position w:val="17"/>
                      <w:sz w:val="24"/>
                      <w:szCs w:val="24"/>
                    </w:rPr>
                    <w:t>Āhuru</w:t>
                  </w:r>
                  <w:proofErr w:type="spellEnd"/>
                  <w:r>
                    <w:rPr>
                      <w:rFonts w:eastAsia="Times New Roman"/>
                      <w:color w:val="363F48"/>
                      <w:position w:val="17"/>
                      <w:sz w:val="24"/>
                      <w:szCs w:val="24"/>
                    </w:rPr>
                    <w:t xml:space="preserve"> </w:t>
                  </w:r>
                  <w:proofErr w:type="spellStart"/>
                  <w:r>
                    <w:rPr>
                      <w:rFonts w:eastAsia="Times New Roman"/>
                      <w:color w:val="363F48"/>
                      <w:position w:val="17"/>
                      <w:sz w:val="24"/>
                      <w:szCs w:val="24"/>
                    </w:rPr>
                    <w:t>Mōwai</w:t>
                  </w:r>
                  <w:proofErr w:type="spellEnd"/>
                  <w:r>
                    <w:rPr>
                      <w:rFonts w:eastAsia="Times New Roman"/>
                      <w:color w:val="363F48"/>
                      <w:position w:val="17"/>
                      <w:sz w:val="24"/>
                      <w:szCs w:val="24"/>
                    </w:rPr>
                    <w:t xml:space="preserve"> members are directly supporting each workstream, and we have also heard the rich </w:t>
                  </w:r>
                  <w:proofErr w:type="spellStart"/>
                  <w:r>
                    <w:rPr>
                      <w:rFonts w:eastAsia="Times New Roman"/>
                      <w:color w:val="363F48"/>
                      <w:position w:val="17"/>
                      <w:sz w:val="24"/>
                      <w:szCs w:val="24"/>
                    </w:rPr>
                    <w:t>kōrero</w:t>
                  </w:r>
                  <w:proofErr w:type="spellEnd"/>
                  <w:r>
                    <w:rPr>
                      <w:rFonts w:eastAsia="Times New Roman"/>
                      <w:color w:val="363F48"/>
                      <w:position w:val="17"/>
                      <w:sz w:val="24"/>
                      <w:szCs w:val="24"/>
                    </w:rPr>
                    <w:t xml:space="preserve"> from our series of Māori Cancer Community Hui that have been taking place across the motu since February.</w:t>
                  </w:r>
                </w:p>
                <w:p w14:paraId="52B53DDB" w14:textId="77777777" w:rsidR="00AC1368" w:rsidRDefault="00AC1368" w:rsidP="00AC1368">
                  <w:pPr>
                    <w:pStyle w:val="NormalWeb"/>
                    <w:spacing w:before="300" w:beforeAutospacing="0" w:after="0" w:afterAutospacing="0" w:line="360" w:lineRule="atLeast"/>
                    <w:textAlignment w:val="center"/>
                    <w:rPr>
                      <w:color w:val="363F48"/>
                      <w:position w:val="17"/>
                      <w:sz w:val="24"/>
                      <w:szCs w:val="24"/>
                    </w:rPr>
                  </w:pPr>
                  <w:r>
                    <w:rPr>
                      <w:rStyle w:val="Strong"/>
                      <w:color w:val="363F48"/>
                      <w:position w:val="17"/>
                      <w:sz w:val="24"/>
                      <w:szCs w:val="24"/>
                    </w:rPr>
                    <w:t>Stakeholder engagement</w:t>
                  </w:r>
                </w:p>
                <w:p w14:paraId="0E12D6CC" w14:textId="77777777" w:rsidR="00AC1368" w:rsidRDefault="00AC1368" w:rsidP="00AC1368">
                  <w:pPr>
                    <w:numPr>
                      <w:ilvl w:val="0"/>
                      <w:numId w:val="2"/>
                    </w:numPr>
                    <w:spacing w:before="300" w:line="360" w:lineRule="atLeast"/>
                    <w:ind w:left="1080"/>
                    <w:textAlignment w:val="center"/>
                    <w:rPr>
                      <w:rFonts w:eastAsia="Times New Roman"/>
                      <w:color w:val="363F48"/>
                      <w:position w:val="17"/>
                      <w:sz w:val="24"/>
                      <w:szCs w:val="24"/>
                    </w:rPr>
                  </w:pPr>
                  <w:r>
                    <w:rPr>
                      <w:rFonts w:eastAsia="Times New Roman"/>
                      <w:color w:val="363F48"/>
                      <w:position w:val="17"/>
                      <w:sz w:val="24"/>
                      <w:szCs w:val="24"/>
                    </w:rPr>
                    <w:t xml:space="preserve">We are engaging broadly across the sector but in a focused manner to inform this work. Key groups we are talking with include Hei </w:t>
                  </w:r>
                  <w:proofErr w:type="spellStart"/>
                  <w:r>
                    <w:rPr>
                      <w:rFonts w:eastAsia="Times New Roman"/>
                      <w:color w:val="363F48"/>
                      <w:position w:val="17"/>
                      <w:sz w:val="24"/>
                      <w:szCs w:val="24"/>
                    </w:rPr>
                    <w:t>Āhuru</w:t>
                  </w:r>
                  <w:proofErr w:type="spellEnd"/>
                  <w:r>
                    <w:rPr>
                      <w:rFonts w:eastAsia="Times New Roman"/>
                      <w:color w:val="363F48"/>
                      <w:position w:val="17"/>
                      <w:sz w:val="24"/>
                      <w:szCs w:val="24"/>
                    </w:rPr>
                    <w:t xml:space="preserve"> </w:t>
                  </w:r>
                  <w:proofErr w:type="spellStart"/>
                  <w:r>
                    <w:rPr>
                      <w:rFonts w:eastAsia="Times New Roman"/>
                      <w:color w:val="363F48"/>
                      <w:position w:val="17"/>
                      <w:sz w:val="24"/>
                      <w:szCs w:val="24"/>
                    </w:rPr>
                    <w:t>Mōwai</w:t>
                  </w:r>
                  <w:proofErr w:type="spellEnd"/>
                  <w:r>
                    <w:rPr>
                      <w:rFonts w:eastAsia="Times New Roman"/>
                      <w:color w:val="363F48"/>
                      <w:position w:val="17"/>
                      <w:sz w:val="24"/>
                      <w:szCs w:val="24"/>
                    </w:rPr>
                    <w:t xml:space="preserve">, Pacific Expert Advisory Group, RACS, NZNO Cancer Nurses College, DHB staff, Ministry of Health </w:t>
                  </w:r>
                  <w:proofErr w:type="gramStart"/>
                  <w:r>
                    <w:rPr>
                      <w:rFonts w:eastAsia="Times New Roman"/>
                      <w:color w:val="363F48"/>
                      <w:position w:val="17"/>
                      <w:sz w:val="24"/>
                      <w:szCs w:val="24"/>
                    </w:rPr>
                    <w:t>Directorates</w:t>
                  </w:r>
                  <w:proofErr w:type="gramEnd"/>
                  <w:r>
                    <w:rPr>
                      <w:rFonts w:eastAsia="Times New Roman"/>
                      <w:color w:val="363F48"/>
                      <w:position w:val="17"/>
                      <w:sz w:val="24"/>
                      <w:szCs w:val="24"/>
                    </w:rPr>
                    <w:t xml:space="preserve"> and many other individual members of the cancer sector.</w:t>
                  </w:r>
                </w:p>
                <w:p w14:paraId="03C71A98" w14:textId="77777777" w:rsidR="00AC1368" w:rsidRDefault="00AC1368" w:rsidP="00AC1368">
                  <w:pPr>
                    <w:numPr>
                      <w:ilvl w:val="0"/>
                      <w:numId w:val="2"/>
                    </w:numPr>
                    <w:spacing w:line="360" w:lineRule="atLeast"/>
                    <w:ind w:left="1080"/>
                    <w:textAlignment w:val="center"/>
                    <w:rPr>
                      <w:rFonts w:eastAsia="Times New Roman"/>
                      <w:color w:val="363F48"/>
                      <w:position w:val="17"/>
                      <w:sz w:val="24"/>
                      <w:szCs w:val="24"/>
                    </w:rPr>
                  </w:pPr>
                  <w:r>
                    <w:rPr>
                      <w:rFonts w:eastAsia="Times New Roman"/>
                      <w:color w:val="363F48"/>
                      <w:position w:val="17"/>
                      <w:sz w:val="24"/>
                      <w:szCs w:val="24"/>
                    </w:rPr>
                    <w:t xml:space="preserve">We’re also engaging clinicians through Te Aho o Te Kahu Clinical Assembly, Medical Oncology, Haematology, Radiation </w:t>
                  </w:r>
                  <w:proofErr w:type="gramStart"/>
                  <w:r>
                    <w:rPr>
                      <w:rFonts w:eastAsia="Times New Roman"/>
                      <w:color w:val="363F48"/>
                      <w:position w:val="17"/>
                      <w:sz w:val="24"/>
                      <w:szCs w:val="24"/>
                    </w:rPr>
                    <w:t>Oncology</w:t>
                  </w:r>
                  <w:proofErr w:type="gramEnd"/>
                  <w:r>
                    <w:rPr>
                      <w:rFonts w:eastAsia="Times New Roman"/>
                      <w:color w:val="363F48"/>
                      <w:position w:val="17"/>
                      <w:sz w:val="24"/>
                      <w:szCs w:val="24"/>
                    </w:rPr>
                    <w:t xml:space="preserve"> and tumour stream working groups.</w:t>
                  </w:r>
                </w:p>
                <w:p w14:paraId="0853DB77" w14:textId="77777777" w:rsidR="00AC1368" w:rsidRDefault="00AC1368" w:rsidP="00AC1368">
                  <w:pPr>
                    <w:numPr>
                      <w:ilvl w:val="0"/>
                      <w:numId w:val="2"/>
                    </w:numPr>
                    <w:spacing w:line="360" w:lineRule="atLeast"/>
                    <w:ind w:left="1080"/>
                    <w:textAlignment w:val="center"/>
                    <w:rPr>
                      <w:rFonts w:eastAsia="Times New Roman"/>
                      <w:color w:val="363F48"/>
                      <w:position w:val="17"/>
                      <w:sz w:val="24"/>
                      <w:szCs w:val="24"/>
                    </w:rPr>
                  </w:pPr>
                  <w:r>
                    <w:rPr>
                      <w:rFonts w:eastAsia="Times New Roman"/>
                      <w:color w:val="363F48"/>
                      <w:position w:val="17"/>
                      <w:sz w:val="24"/>
                      <w:szCs w:val="24"/>
                    </w:rPr>
                    <w:lastRenderedPageBreak/>
                    <w:t>Advice from these stakeholders has had significant impact on the shape of this work, and we will continue to engage with these groups and other stakeholders as the project progresses.</w:t>
                  </w:r>
                </w:p>
                <w:p w14:paraId="14171815" w14:textId="77777777" w:rsidR="00AC1368" w:rsidRDefault="00AC1368" w:rsidP="00AC1368">
                  <w:pPr>
                    <w:pStyle w:val="NormalWeb"/>
                    <w:spacing w:before="300" w:beforeAutospacing="0" w:after="0" w:afterAutospacing="0" w:line="360" w:lineRule="atLeast"/>
                    <w:textAlignment w:val="center"/>
                    <w:rPr>
                      <w:color w:val="363F48"/>
                      <w:position w:val="17"/>
                      <w:sz w:val="24"/>
                      <w:szCs w:val="24"/>
                    </w:rPr>
                  </w:pPr>
                  <w:r>
                    <w:rPr>
                      <w:rStyle w:val="Strong"/>
                      <w:color w:val="363F48"/>
                      <w:position w:val="17"/>
                      <w:sz w:val="24"/>
                      <w:szCs w:val="24"/>
                    </w:rPr>
                    <w:t>Project deliverable</w:t>
                  </w:r>
                </w:p>
                <w:p w14:paraId="5503ABC7" w14:textId="77777777" w:rsidR="00AC1368" w:rsidRDefault="00AC1368" w:rsidP="00AC1368">
                  <w:pPr>
                    <w:numPr>
                      <w:ilvl w:val="0"/>
                      <w:numId w:val="3"/>
                    </w:numPr>
                    <w:spacing w:before="300" w:line="360" w:lineRule="atLeast"/>
                    <w:ind w:left="1080"/>
                    <w:textAlignment w:val="center"/>
                    <w:rPr>
                      <w:rFonts w:eastAsia="Times New Roman"/>
                      <w:color w:val="363F48"/>
                      <w:position w:val="17"/>
                      <w:sz w:val="24"/>
                      <w:szCs w:val="24"/>
                    </w:rPr>
                  </w:pPr>
                  <w:r>
                    <w:rPr>
                      <w:rFonts w:eastAsia="Times New Roman"/>
                      <w:color w:val="363F48"/>
                      <w:position w:val="17"/>
                      <w:sz w:val="24"/>
                      <w:szCs w:val="24"/>
                    </w:rPr>
                    <w:t xml:space="preserve">The project will deliver strategic guidance on recommended approaches to strengthen our cancer services with the view to create </w:t>
                  </w:r>
                  <w:proofErr w:type="spellStart"/>
                  <w:r>
                    <w:rPr>
                      <w:rFonts w:eastAsia="Times New Roman"/>
                      <w:color w:val="363F48"/>
                      <w:position w:val="17"/>
                      <w:sz w:val="24"/>
                      <w:szCs w:val="24"/>
                    </w:rPr>
                    <w:t>whānau</w:t>
                  </w:r>
                  <w:proofErr w:type="spellEnd"/>
                  <w:r>
                    <w:rPr>
                      <w:rFonts w:eastAsia="Times New Roman"/>
                      <w:color w:val="363F48"/>
                      <w:position w:val="17"/>
                      <w:sz w:val="24"/>
                      <w:szCs w:val="24"/>
                    </w:rPr>
                    <w:t xml:space="preserve">-centred, equitable, </w:t>
                  </w:r>
                  <w:proofErr w:type="gramStart"/>
                  <w:r>
                    <w:rPr>
                      <w:rFonts w:eastAsia="Times New Roman"/>
                      <w:color w:val="363F48"/>
                      <w:position w:val="17"/>
                      <w:sz w:val="24"/>
                      <w:szCs w:val="24"/>
                    </w:rPr>
                    <w:t>high-quality</w:t>
                  </w:r>
                  <w:proofErr w:type="gramEnd"/>
                  <w:r>
                    <w:rPr>
                      <w:rFonts w:eastAsia="Times New Roman"/>
                      <w:color w:val="363F48"/>
                      <w:position w:val="17"/>
                      <w:sz w:val="24"/>
                      <w:szCs w:val="24"/>
                    </w:rPr>
                    <w:t xml:space="preserve"> and sustainable cancer services into the future.</w:t>
                  </w:r>
                </w:p>
                <w:p w14:paraId="08E1DC72" w14:textId="77777777" w:rsidR="00AC1368" w:rsidRDefault="00AC1368" w:rsidP="00AC1368">
                  <w:pPr>
                    <w:numPr>
                      <w:ilvl w:val="0"/>
                      <w:numId w:val="3"/>
                    </w:numPr>
                    <w:spacing w:line="360" w:lineRule="atLeast"/>
                    <w:ind w:left="1080"/>
                    <w:textAlignment w:val="center"/>
                    <w:rPr>
                      <w:rFonts w:eastAsia="Times New Roman"/>
                      <w:color w:val="363F48"/>
                      <w:position w:val="17"/>
                      <w:sz w:val="24"/>
                      <w:szCs w:val="24"/>
                    </w:rPr>
                  </w:pPr>
                  <w:r>
                    <w:rPr>
                      <w:rFonts w:eastAsia="Times New Roman"/>
                      <w:color w:val="363F48"/>
                      <w:position w:val="17"/>
                      <w:sz w:val="24"/>
                      <w:szCs w:val="24"/>
                    </w:rPr>
                    <w:t>We anticipate our recommendations will transition into future detailed work that will include further extensive engagement, co-</w:t>
                  </w:r>
                  <w:proofErr w:type="gramStart"/>
                  <w:r>
                    <w:rPr>
                      <w:rFonts w:eastAsia="Times New Roman"/>
                      <w:color w:val="363F48"/>
                      <w:position w:val="17"/>
                      <w:sz w:val="24"/>
                      <w:szCs w:val="24"/>
                    </w:rPr>
                    <w:t>design</w:t>
                  </w:r>
                  <w:proofErr w:type="gramEnd"/>
                  <w:r>
                    <w:rPr>
                      <w:rFonts w:eastAsia="Times New Roman"/>
                      <w:color w:val="363F48"/>
                      <w:position w:val="17"/>
                      <w:sz w:val="24"/>
                      <w:szCs w:val="24"/>
                    </w:rPr>
                    <w:t xml:space="preserve"> and implementation processes, led by Health New Zealand and the Māori Health Authority, and informed and closely monitored by Te Aho o Te Kahu.</w:t>
                  </w:r>
                </w:p>
                <w:p w14:paraId="5BD2AB26" w14:textId="77777777" w:rsidR="00AC1368" w:rsidRDefault="00AC1368" w:rsidP="00AC1368">
                  <w:pPr>
                    <w:pStyle w:val="NormalWeb"/>
                    <w:spacing w:before="300" w:beforeAutospacing="0" w:after="0" w:afterAutospacing="0" w:line="360" w:lineRule="atLeast"/>
                    <w:textAlignment w:val="center"/>
                    <w:rPr>
                      <w:color w:val="363F48"/>
                      <w:position w:val="17"/>
                      <w:sz w:val="24"/>
                      <w:szCs w:val="24"/>
                    </w:rPr>
                  </w:pPr>
                  <w:r>
                    <w:rPr>
                      <w:rStyle w:val="Strong"/>
                      <w:color w:val="363F48"/>
                      <w:position w:val="17"/>
                      <w:sz w:val="24"/>
                      <w:szCs w:val="24"/>
                    </w:rPr>
                    <w:t>How to engage with us</w:t>
                  </w:r>
                </w:p>
                <w:p w14:paraId="3BFCB150" w14:textId="77777777" w:rsidR="00AC1368" w:rsidRDefault="00AC1368" w:rsidP="00AC1368">
                  <w:pPr>
                    <w:pStyle w:val="NormalWeb"/>
                    <w:spacing w:before="300" w:beforeAutospacing="0" w:after="300" w:afterAutospacing="0" w:line="360" w:lineRule="atLeast"/>
                    <w:textAlignment w:val="center"/>
                    <w:rPr>
                      <w:color w:val="363F48"/>
                      <w:position w:val="17"/>
                      <w:sz w:val="24"/>
                      <w:szCs w:val="24"/>
                    </w:rPr>
                  </w:pPr>
                  <w:r>
                    <w:rPr>
                      <w:color w:val="363F48"/>
                      <w:position w:val="17"/>
                      <w:sz w:val="24"/>
                      <w:szCs w:val="24"/>
                    </w:rPr>
                    <w:t>If you are interested in talking with the project team about this work, please contact our project leads Jane Dancer (</w:t>
                  </w:r>
                  <w:hyperlink r:id="rId18" w:history="1">
                    <w:r>
                      <w:rPr>
                        <w:rStyle w:val="Hyperlink"/>
                        <w:color w:val="4C4DC3"/>
                        <w:position w:val="17"/>
                        <w:sz w:val="24"/>
                        <w:szCs w:val="24"/>
                      </w:rPr>
                      <w:t>Jane.Dancer@teaho.govt.nz</w:t>
                    </w:r>
                  </w:hyperlink>
                  <w:r>
                    <w:rPr>
                      <w:color w:val="363F48"/>
                      <w:position w:val="17"/>
                      <w:sz w:val="24"/>
                      <w:szCs w:val="24"/>
                    </w:rPr>
                    <w:t>) or Helen Stobba (</w:t>
                  </w:r>
                  <w:hyperlink r:id="rId19" w:history="1">
                    <w:r>
                      <w:rPr>
                        <w:rStyle w:val="Hyperlink"/>
                        <w:color w:val="4C4DC3"/>
                        <w:position w:val="17"/>
                        <w:sz w:val="24"/>
                        <w:szCs w:val="24"/>
                      </w:rPr>
                      <w:t>Helen.Stobba@teaho.govt.nz</w:t>
                    </w:r>
                  </w:hyperlink>
                  <w:r>
                    <w:rPr>
                      <w:color w:val="363F48"/>
                      <w:position w:val="17"/>
                      <w:sz w:val="24"/>
                      <w:szCs w:val="24"/>
                    </w:rPr>
                    <w:t>).</w:t>
                  </w:r>
                </w:p>
                <w:p w14:paraId="682B221A" w14:textId="77777777" w:rsidR="00AC1368" w:rsidRDefault="00AC1368" w:rsidP="00AC1368">
                  <w:pPr>
                    <w:spacing w:line="600" w:lineRule="exact"/>
                    <w:rPr>
                      <w:rFonts w:eastAsia="Times New Roman"/>
                      <w:color w:val="363F48"/>
                      <w:sz w:val="2"/>
                      <w:szCs w:val="2"/>
                    </w:rPr>
                  </w:pPr>
                </w:p>
              </w:tc>
              <w:tc>
                <w:tcPr>
                  <w:tcW w:w="0" w:type="auto"/>
                  <w:shd w:val="clear" w:color="auto" w:fill="FFF7ED"/>
                  <w:vAlign w:val="center"/>
                  <w:hideMark/>
                </w:tcPr>
                <w:p w14:paraId="59C829B1" w14:textId="77777777" w:rsidR="00AC1368" w:rsidRDefault="00AC1368" w:rsidP="00AC1368">
                  <w:pPr>
                    <w:rPr>
                      <w:rFonts w:eastAsia="Times New Roman"/>
                      <w:sz w:val="2"/>
                      <w:szCs w:val="2"/>
                    </w:rPr>
                  </w:pPr>
                </w:p>
              </w:tc>
            </w:tr>
            <w:tr w:rsidR="00AC1368" w14:paraId="004A5E70" w14:textId="77777777" w:rsidTr="00AC1368">
              <w:trPr>
                <w:gridAfter w:val="2"/>
                <w:wAfter w:w="5482" w:type="dxa"/>
              </w:trPr>
              <w:tc>
                <w:tcPr>
                  <w:tcW w:w="3544" w:type="dxa"/>
                  <w:gridSpan w:val="2"/>
                  <w:shd w:val="clear" w:color="auto" w:fill="FFFFFF"/>
                  <w:vAlign w:val="center"/>
                  <w:hideMark/>
                </w:tcPr>
                <w:p w14:paraId="2F4EE23F" w14:textId="77777777" w:rsidR="00AC1368" w:rsidRDefault="00AC1368" w:rsidP="00AC1368">
                  <w:pPr>
                    <w:spacing w:line="150" w:lineRule="exact"/>
                    <w:jc w:val="center"/>
                    <w:rPr>
                      <w:rFonts w:eastAsia="Times New Roman"/>
                      <w:color w:val="363F48"/>
                      <w:sz w:val="2"/>
                      <w:szCs w:val="2"/>
                    </w:rPr>
                  </w:pPr>
                </w:p>
              </w:tc>
            </w:tr>
          </w:tbl>
          <w:p w14:paraId="4015901B" w14:textId="77777777" w:rsidR="00AC1368" w:rsidRDefault="00AC1368" w:rsidP="00AC1368">
            <w:pPr>
              <w:spacing w:line="300" w:lineRule="exact"/>
              <w:jc w:val="center"/>
              <w:rPr>
                <w:rFonts w:eastAsia="Times New Roman"/>
                <w:sz w:val="30"/>
                <w:szCs w:val="30"/>
              </w:rPr>
            </w:pPr>
          </w:p>
          <w:tbl>
            <w:tblPr>
              <w:tblW w:w="0" w:type="auto"/>
              <w:jc w:val="center"/>
              <w:tblCellMar>
                <w:left w:w="0" w:type="dxa"/>
                <w:right w:w="0" w:type="dxa"/>
              </w:tblCellMar>
              <w:tblLook w:val="04A0" w:firstRow="1" w:lastRow="0" w:firstColumn="1" w:lastColumn="0" w:noHBand="0" w:noVBand="1"/>
            </w:tblPr>
            <w:tblGrid>
              <w:gridCol w:w="9000"/>
            </w:tblGrid>
            <w:tr w:rsidR="00AC1368" w14:paraId="1E964097" w14:textId="77777777">
              <w:trPr>
                <w:jc w:val="center"/>
              </w:trPr>
              <w:tc>
                <w:tcPr>
                  <w:tcW w:w="9000" w:type="dxa"/>
                  <w:shd w:val="clear" w:color="auto" w:fill="FFFFFF"/>
                  <w:vAlign w:val="center"/>
                  <w:hideMark/>
                </w:tcPr>
                <w:p w14:paraId="1646361A" w14:textId="77777777" w:rsidR="00AC1368" w:rsidRDefault="00AC1368" w:rsidP="00AC1368">
                  <w:pPr>
                    <w:spacing w:line="360" w:lineRule="atLeast"/>
                    <w:jc w:val="center"/>
                    <w:rPr>
                      <w:rFonts w:eastAsia="Times New Roman"/>
                      <w:color w:val="363F48"/>
                      <w:sz w:val="24"/>
                      <w:szCs w:val="24"/>
                    </w:rPr>
                  </w:pPr>
                </w:p>
              </w:tc>
            </w:tr>
          </w:tbl>
          <w:p w14:paraId="05389CBA" w14:textId="77777777" w:rsidR="00AC1368" w:rsidRDefault="00AC1368" w:rsidP="00AC1368">
            <w:pPr>
              <w:spacing w:line="60" w:lineRule="atLeast"/>
              <w:jc w:val="center"/>
              <w:rPr>
                <w:rFonts w:eastAsia="Times New Roman"/>
                <w:sz w:val="6"/>
                <w:szCs w:val="6"/>
              </w:rPr>
            </w:pPr>
          </w:p>
          <w:tbl>
            <w:tblPr>
              <w:tblW w:w="0" w:type="auto"/>
              <w:jc w:val="center"/>
              <w:tblCellMar>
                <w:left w:w="0" w:type="dxa"/>
                <w:right w:w="0" w:type="dxa"/>
              </w:tblCellMar>
              <w:tblLook w:val="04A0" w:firstRow="1" w:lastRow="0" w:firstColumn="1" w:lastColumn="0" w:noHBand="0" w:noVBand="1"/>
            </w:tblPr>
            <w:tblGrid>
              <w:gridCol w:w="8712"/>
            </w:tblGrid>
            <w:tr w:rsidR="00AC1368" w14:paraId="78F94F3C" w14:textId="77777777">
              <w:trPr>
                <w:jc w:val="center"/>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6"/>
                    <w:gridCol w:w="8700"/>
                  </w:tblGrid>
                  <w:tr w:rsidR="00AC1368" w14:paraId="4C1BA5D8" w14:textId="77777777">
                    <w:tc>
                      <w:tcPr>
                        <w:tcW w:w="0" w:type="auto"/>
                        <w:hideMark/>
                      </w:tcPr>
                      <w:p w14:paraId="67E14410" w14:textId="77777777" w:rsidR="00AC1368" w:rsidRDefault="00AC1368" w:rsidP="00AC1368">
                        <w:pPr>
                          <w:jc w:val="center"/>
                          <w:rPr>
                            <w:rFonts w:eastAsia="Times New Roman"/>
                            <w:sz w:val="6"/>
                            <w:szCs w:val="6"/>
                          </w:rPr>
                        </w:pPr>
                      </w:p>
                    </w:tc>
                    <w:tc>
                      <w:tcPr>
                        <w:tcW w:w="0" w:type="auto"/>
                        <w:hideMark/>
                      </w:tcPr>
                      <w:p w14:paraId="47FD185E" w14:textId="77777777" w:rsidR="00AC1368" w:rsidRDefault="00AC1368" w:rsidP="00AC1368">
                        <w:pPr>
                          <w:jc w:val="center"/>
                          <w:rPr>
                            <w:rFonts w:ascii="Times New Roman" w:eastAsia="Times New Roman" w:hAnsi="Times New Roman" w:cs="Times New Roman"/>
                            <w:sz w:val="20"/>
                            <w:szCs w:val="20"/>
                          </w:rPr>
                        </w:pPr>
                      </w:p>
                    </w:tc>
                    <w:tc>
                      <w:tcPr>
                        <w:tcW w:w="0" w:type="auto"/>
                        <w:hideMark/>
                      </w:tcPr>
                      <w:tbl>
                        <w:tblPr>
                          <w:tblW w:w="8700" w:type="dxa"/>
                          <w:tblCellMar>
                            <w:left w:w="0" w:type="dxa"/>
                            <w:right w:w="0" w:type="dxa"/>
                          </w:tblCellMar>
                          <w:tblLook w:val="04A0" w:firstRow="1" w:lastRow="0" w:firstColumn="1" w:lastColumn="0" w:noHBand="0" w:noVBand="1"/>
                        </w:tblPr>
                        <w:tblGrid>
                          <w:gridCol w:w="8700"/>
                        </w:tblGrid>
                        <w:tr w:rsidR="00AC1368" w14:paraId="3AB1D46C" w14:textId="77777777">
                          <w:tc>
                            <w:tcPr>
                              <w:tcW w:w="0" w:type="auto"/>
                              <w:vAlign w:val="center"/>
                              <w:hideMark/>
                            </w:tcPr>
                            <w:p w14:paraId="539C9FF8" w14:textId="77777777" w:rsidR="00AC1368" w:rsidRDefault="00AC1368" w:rsidP="00AC1368">
                              <w:pPr>
                                <w:spacing w:line="285" w:lineRule="atLeast"/>
                                <w:jc w:val="center"/>
                                <w:rPr>
                                  <w:rFonts w:eastAsia="Times New Roman"/>
                                  <w:color w:val="363F48"/>
                                  <w:sz w:val="18"/>
                                  <w:szCs w:val="18"/>
                                </w:rPr>
                              </w:pPr>
                            </w:p>
                          </w:tc>
                        </w:tr>
                      </w:tbl>
                      <w:p w14:paraId="532EF937" w14:textId="77777777" w:rsidR="00AC1368" w:rsidRDefault="00AC1368" w:rsidP="00AC1368">
                        <w:pPr>
                          <w:jc w:val="center"/>
                          <w:rPr>
                            <w:rFonts w:ascii="Times New Roman" w:eastAsia="Times New Roman" w:hAnsi="Times New Roman" w:cs="Times New Roman"/>
                            <w:sz w:val="20"/>
                            <w:szCs w:val="20"/>
                          </w:rPr>
                        </w:pPr>
                      </w:p>
                    </w:tc>
                  </w:tr>
                </w:tbl>
                <w:p w14:paraId="5BB63AC4" w14:textId="77777777" w:rsidR="00AC1368" w:rsidRDefault="00AC1368" w:rsidP="00AC1368">
                  <w:pPr>
                    <w:jc w:val="center"/>
                    <w:rPr>
                      <w:rFonts w:ascii="Times New Roman" w:eastAsia="Times New Roman" w:hAnsi="Times New Roman" w:cs="Times New Roman"/>
                      <w:sz w:val="20"/>
                      <w:szCs w:val="20"/>
                    </w:rPr>
                  </w:pPr>
                </w:p>
              </w:tc>
            </w:tr>
          </w:tbl>
          <w:p w14:paraId="0F61AF6E" w14:textId="77777777" w:rsidR="00AC1368" w:rsidRDefault="00AC1368" w:rsidP="00AC1368">
            <w:pPr>
              <w:spacing w:line="600" w:lineRule="atLeast"/>
              <w:jc w:val="center"/>
              <w:rPr>
                <w:rFonts w:eastAsia="Times New Roman"/>
                <w:sz w:val="60"/>
                <w:szCs w:val="60"/>
              </w:rPr>
            </w:pPr>
          </w:p>
        </w:tc>
      </w:tr>
    </w:tbl>
    <w:p w14:paraId="0C7495EA" w14:textId="77777777" w:rsidR="00AC1368" w:rsidRDefault="00AC1368" w:rsidP="00AC1368">
      <w:pPr>
        <w:jc w:val="center"/>
        <w:rPr>
          <w:rFonts w:eastAsia="Times New Roman"/>
        </w:rPr>
      </w:pPr>
      <w:r>
        <w:rPr>
          <w:rFonts w:eastAsia="Times New Roman"/>
          <w:noProof/>
        </w:rPr>
        <w:lastRenderedPageBreak/>
        <mc:AlternateContent>
          <mc:Choice Requires="wps">
            <w:drawing>
              <wp:inline distT="0" distB="0" distL="0" distR="0" wp14:anchorId="0FC48024" wp14:editId="0074A48C">
                <wp:extent cx="7620" cy="762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E00180" id="Rectangle 1"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I15QEAAMADAAAOAAAAZHJzL2Uyb0RvYy54bWysU8FuEzEQvSPxD5bvZJMotLDKpqpaFSEV&#10;qFr4AMdr71rYHjN2sglfz9ibhJTeKi6WPTP75s2bt8urnbNsqzAa8A2fTaacKS+hNb5r+I/vd+8+&#10;cBaT8K2w4FXD9yryq9XbN8sh1GoOPdhWISMQH+shNLxPKdRVFWWvnIgTCMpTUgM6keiJXdWiGAjd&#10;2Wo+nV5UA2AbEKSKkaK3Y5KvCr7WSqZvWkeVmG04cUvlxHKu81mtlqLuUITeyAMN8QoWThhPTU9Q&#10;tyIJtkHzAsoZiRBBp4kEV4HWRqoyA00zm/4zzVMvgiqzkDgxnGSK/w9Wft0+IDMt7Y4zLxyt6JFE&#10;E76zis2yPEOINVU9hQfMA8ZwD/JnZB5ueqpS1zFQ/fj5MYQIQ69ESzwLRPUMIz8iobH18AVaaig2&#10;CYp4O40u9yBZ2K7saH/akdolJil4eTGnPUpKlBsRrER9/DBgTJ8UOJYvDUdiVoDF9j6msfRYkvt4&#10;uDPWFgtY/yxAmDlSiGeuowxraPfEG2G0EdmeLj3gb84GslDD46+NQMWZ/exp9o+zxSJ7rjwW7y8z&#10;cTzPrM8zwkuCanjibLzepNGnm4Cm64vEI8dr0kubMk/WcmR1IEs2KYocLJ19eP4uVX9/vNUfAAAA&#10;//8DAFBLAwQUAAYACAAAACEAufgkpdcAAAABAQAADwAAAGRycy9kb3ducmV2LnhtbEyPQWvCQBCF&#10;70L/wzKFXkQ39SCSZiMilEopSGPrecyOSTA7G7NrEv99Vy/2Mo/hDe99kywHU4uOWldZVvA6jUAQ&#10;51ZXXCj42b1PFiCcR9ZYWyYFV3KwTJ9GCcba9vxNXeYLEULYxaig9L6JpXR5SQbd1DbEwTva1qAP&#10;a1tI3WIfwk0tZ1E0lwYrDg0lNrQuKT9lF6Ogz7fdfvf1Ibfj/cbyeXNeZ7+fSr08D6s3EJ4G/ziG&#10;G35AhzQwHeyFtRO1gvCIv8+bNwNxuItME/mfPP0DAAD//wMAUEsBAi0AFAAGAAgAAAAhALaDOJL+&#10;AAAA4QEAABMAAAAAAAAAAAAAAAAAAAAAAFtDb250ZW50X1R5cGVzXS54bWxQSwECLQAUAAYACAAA&#10;ACEAOP0h/9YAAACUAQAACwAAAAAAAAAAAAAAAAAvAQAAX3JlbHMvLnJlbHNQSwECLQAUAAYACAAA&#10;ACEAlaJSNeUBAADAAwAADgAAAAAAAAAAAAAAAAAuAgAAZHJzL2Uyb0RvYy54bWxQSwECLQAUAAYA&#10;CAAAACEAufgkpdcAAAABAQAADwAAAAAAAAAAAAAAAAA/BAAAZHJzL2Rvd25yZXYueG1sUEsFBgAA&#10;AAAEAAQA8wAAAEMFAAAAAA==&#10;" filled="f" stroked="f">
                <o:lock v:ext="edit" aspectratio="t"/>
                <w10:anchorlock/>
              </v:rect>
            </w:pict>
          </mc:Fallback>
        </mc:AlternateContent>
      </w:r>
    </w:p>
    <w:p w14:paraId="6FA7F01F" w14:textId="77777777" w:rsidR="00034304" w:rsidRDefault="00034304" w:rsidP="00AC1368">
      <w:pPr>
        <w:jc w:val="center"/>
      </w:pPr>
    </w:p>
    <w:sectPr w:rsidR="000343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A5F3F"/>
    <w:multiLevelType w:val="hybridMultilevel"/>
    <w:tmpl w:val="C6789E5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 w15:restartNumberingAfterBreak="0">
    <w:nsid w:val="15033775"/>
    <w:multiLevelType w:val="multilevel"/>
    <w:tmpl w:val="82DEE6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2731D5"/>
    <w:multiLevelType w:val="multilevel"/>
    <w:tmpl w:val="FB4C60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8256DF"/>
    <w:multiLevelType w:val="multilevel"/>
    <w:tmpl w:val="F84C3A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368"/>
    <w:rsid w:val="00034304"/>
    <w:rsid w:val="00AC13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2C851"/>
  <w15:chartTrackingRefBased/>
  <w15:docId w15:val="{1422A1A0-9101-484B-8934-AAF2FA3F9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368"/>
    <w:pPr>
      <w:spacing w:after="0" w:line="240" w:lineRule="auto"/>
    </w:pPr>
    <w:rPr>
      <w:rFonts w:ascii="Calibri" w:hAnsi="Calibri" w:cs="Calibri"/>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1368"/>
    <w:rPr>
      <w:color w:val="0000FF"/>
      <w:u w:val="single"/>
    </w:rPr>
  </w:style>
  <w:style w:type="paragraph" w:styleId="NormalWeb">
    <w:name w:val="Normal (Web)"/>
    <w:basedOn w:val="Normal"/>
    <w:uiPriority w:val="99"/>
    <w:semiHidden/>
    <w:unhideWhenUsed/>
    <w:rsid w:val="00AC1368"/>
    <w:pPr>
      <w:spacing w:before="100" w:beforeAutospacing="1" w:after="100" w:afterAutospacing="1"/>
    </w:pPr>
  </w:style>
  <w:style w:type="paragraph" w:customStyle="1" w:styleId="size-131">
    <w:name w:val="size-131"/>
    <w:basedOn w:val="Normal"/>
    <w:uiPriority w:val="99"/>
    <w:semiHidden/>
    <w:rsid w:val="00AC1368"/>
    <w:pPr>
      <w:spacing w:before="100" w:beforeAutospacing="1" w:after="100" w:afterAutospacing="1" w:line="315" w:lineRule="atLeast"/>
    </w:pPr>
    <w:rPr>
      <w:sz w:val="20"/>
      <w:szCs w:val="20"/>
    </w:rPr>
  </w:style>
  <w:style w:type="paragraph" w:customStyle="1" w:styleId="size-141">
    <w:name w:val="size-141"/>
    <w:basedOn w:val="Normal"/>
    <w:uiPriority w:val="99"/>
    <w:semiHidden/>
    <w:rsid w:val="00AC1368"/>
    <w:pPr>
      <w:spacing w:before="100" w:beforeAutospacing="1" w:after="100" w:afterAutospacing="1" w:line="315" w:lineRule="atLeast"/>
    </w:pPr>
    <w:rPr>
      <w:sz w:val="21"/>
      <w:szCs w:val="21"/>
    </w:rPr>
  </w:style>
  <w:style w:type="paragraph" w:customStyle="1" w:styleId="size-241">
    <w:name w:val="size-241"/>
    <w:basedOn w:val="Normal"/>
    <w:uiPriority w:val="99"/>
    <w:semiHidden/>
    <w:rsid w:val="00AC1368"/>
    <w:pPr>
      <w:spacing w:before="100" w:beforeAutospacing="1" w:after="100" w:afterAutospacing="1" w:line="480" w:lineRule="atLeast"/>
    </w:pPr>
    <w:rPr>
      <w:sz w:val="36"/>
      <w:szCs w:val="36"/>
    </w:rPr>
  </w:style>
  <w:style w:type="character" w:customStyle="1" w:styleId="font-montserrat">
    <w:name w:val="font-montserrat"/>
    <w:basedOn w:val="DefaultParagraphFont"/>
    <w:rsid w:val="00AC1368"/>
  </w:style>
  <w:style w:type="character" w:styleId="Strong">
    <w:name w:val="Strong"/>
    <w:basedOn w:val="DefaultParagraphFont"/>
    <w:uiPriority w:val="22"/>
    <w:qFormat/>
    <w:rsid w:val="00AC13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79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hootekahu.cmail19.com/t/t-l-cnjukl-yhdrkiuluh-y/" TargetMode="External"/><Relationship Id="rId13" Type="http://schemas.openxmlformats.org/officeDocument/2006/relationships/image" Target="media/image3.jpeg"/><Relationship Id="rId18" Type="http://schemas.openxmlformats.org/officeDocument/2006/relationships/hyperlink" Target="mailto:Jane.Dancer@teaho.govt.nz"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teahootekahu.cmail19.com/t/t-l-cnjukl-yhdrkiuluh-d/"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teahootekahu.cmail19.com/t/t-l-cnjukl-yhdrkiuluh-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teahootekahu.cmail19.com/t/t-l-cnjukl-yhdrkiuluh-i/" TargetMode="External"/><Relationship Id="rId5" Type="http://schemas.openxmlformats.org/officeDocument/2006/relationships/hyperlink" Target="https://teahootekahu.cmail19.com/t/t-l-cnjukl-yhdrkiuluh-r/" TargetMode="External"/><Relationship Id="rId15" Type="http://schemas.openxmlformats.org/officeDocument/2006/relationships/hyperlink" Target="https://teahootekahu.cmail19.com/t/t-l-cnjukl-yhdrkiuluh-k/" TargetMode="External"/><Relationship Id="rId10" Type="http://schemas.openxmlformats.org/officeDocument/2006/relationships/hyperlink" Target="https://teahootekahu.cmail19.com/t/t-l-cnjukl-yhdrkiuluh-t/" TargetMode="External"/><Relationship Id="rId19" Type="http://schemas.openxmlformats.org/officeDocument/2006/relationships/hyperlink" Target="mailto:Helen.Stobba@teaho.govt.nz" TargetMode="External"/><Relationship Id="rId4" Type="http://schemas.openxmlformats.org/officeDocument/2006/relationships/webSettings" Target="webSettings.xml"/><Relationship Id="rId9" Type="http://schemas.openxmlformats.org/officeDocument/2006/relationships/hyperlink" Target="https://teahootekahu.cmail19.com/t/t-l-cnjukl-yhdrkiuluh-j/" TargetMode="External"/><Relationship Id="rId14" Type="http://schemas.openxmlformats.org/officeDocument/2006/relationships/hyperlink" Target="https://teahootekahu.cmail19.com/t/t-l-cnjukl-yhdrkiuluh-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1300</Words>
  <Characters>7415</Characters>
  <Application>Microsoft Office Word</Application>
  <DocSecurity>0</DocSecurity>
  <Lines>61</Lines>
  <Paragraphs>17</Paragraphs>
  <ScaleCrop>false</ScaleCrop>
  <Company>Ministry of Health</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Willis</dc:creator>
  <cp:keywords/>
  <dc:description/>
  <cp:lastModifiedBy>Nicole Willis</cp:lastModifiedBy>
  <cp:revision>1</cp:revision>
  <dcterms:created xsi:type="dcterms:W3CDTF">2021-08-23T21:37:00Z</dcterms:created>
  <dcterms:modified xsi:type="dcterms:W3CDTF">2021-08-23T21:45:00Z</dcterms:modified>
</cp:coreProperties>
</file>